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3D" w:rsidRPr="007B773D" w:rsidRDefault="007B773D" w:rsidP="007B773D">
      <w:pPr>
        <w:shd w:val="clear" w:color="auto" w:fill="D9D9D9" w:themeFill="background1" w:themeFillShade="D9"/>
        <w:spacing w:after="0" w:line="240" w:lineRule="auto"/>
        <w:rPr>
          <w:rFonts w:ascii="Arial" w:hAnsi="Arial" w:cs="Arial"/>
          <w:b/>
          <w:sz w:val="20"/>
          <w:szCs w:val="20"/>
        </w:rPr>
      </w:pPr>
    </w:p>
    <w:p w:rsidR="003D5ACE" w:rsidRPr="007B773D" w:rsidRDefault="007B773D" w:rsidP="007B773D">
      <w:pPr>
        <w:shd w:val="clear" w:color="auto" w:fill="D9D9D9" w:themeFill="background1" w:themeFillShade="D9"/>
        <w:spacing w:after="0" w:line="240" w:lineRule="auto"/>
        <w:rPr>
          <w:rFonts w:ascii="Arial" w:hAnsi="Arial" w:cs="Arial"/>
          <w:b/>
        </w:rPr>
      </w:pPr>
      <w:r w:rsidRPr="007B773D">
        <w:rPr>
          <w:rFonts w:ascii="Arial" w:hAnsi="Arial" w:cs="Arial"/>
          <w:b/>
        </w:rPr>
        <w:t>NLAF Housing Law Working Group</w:t>
      </w:r>
    </w:p>
    <w:p w:rsidR="007B773D" w:rsidRPr="007B773D" w:rsidRDefault="007B773D" w:rsidP="007B773D">
      <w:pPr>
        <w:shd w:val="clear" w:color="auto" w:fill="D9D9D9" w:themeFill="background1" w:themeFillShade="D9"/>
        <w:spacing w:before="120" w:after="0" w:line="240" w:lineRule="auto"/>
        <w:rPr>
          <w:rFonts w:ascii="Arial" w:hAnsi="Arial" w:cs="Arial"/>
          <w:b/>
        </w:rPr>
      </w:pPr>
      <w:r w:rsidRPr="007B773D">
        <w:rPr>
          <w:rFonts w:ascii="Arial" w:hAnsi="Arial" w:cs="Arial"/>
          <w:b/>
        </w:rPr>
        <w:t xml:space="preserve">Report to NLAF – </w:t>
      </w:r>
      <w:r w:rsidR="00B87E06">
        <w:rPr>
          <w:rFonts w:ascii="Arial" w:hAnsi="Arial" w:cs="Arial"/>
          <w:b/>
        </w:rPr>
        <w:t>November</w:t>
      </w:r>
      <w:r w:rsidRPr="007B773D">
        <w:rPr>
          <w:rFonts w:ascii="Arial" w:hAnsi="Arial" w:cs="Arial"/>
          <w:b/>
        </w:rPr>
        <w:t xml:space="preserve"> 2013</w:t>
      </w:r>
    </w:p>
    <w:p w:rsidR="007B773D" w:rsidRPr="007B773D" w:rsidRDefault="007B773D" w:rsidP="007B773D">
      <w:pPr>
        <w:shd w:val="clear" w:color="auto" w:fill="D9D9D9" w:themeFill="background1" w:themeFillShade="D9"/>
        <w:spacing w:after="0" w:line="240" w:lineRule="auto"/>
        <w:rPr>
          <w:rFonts w:ascii="Arial" w:hAnsi="Arial" w:cs="Arial"/>
          <w:b/>
        </w:rPr>
      </w:pPr>
    </w:p>
    <w:p w:rsidR="007B773D" w:rsidRPr="007B773D" w:rsidRDefault="007B773D" w:rsidP="007B773D">
      <w:pPr>
        <w:spacing w:after="0" w:line="240" w:lineRule="auto"/>
        <w:rPr>
          <w:rFonts w:ascii="Arial" w:hAnsi="Arial" w:cs="Arial"/>
        </w:rPr>
      </w:pPr>
    </w:p>
    <w:p w:rsidR="007B773D" w:rsidRPr="007B773D" w:rsidRDefault="007B773D" w:rsidP="007B773D">
      <w:pPr>
        <w:pStyle w:val="ListParagraph"/>
        <w:numPr>
          <w:ilvl w:val="0"/>
          <w:numId w:val="2"/>
        </w:numPr>
        <w:spacing w:after="0" w:line="240" w:lineRule="auto"/>
        <w:ind w:left="567" w:hanging="567"/>
        <w:rPr>
          <w:rFonts w:ascii="Arial" w:hAnsi="Arial" w:cs="Arial"/>
          <w:b/>
        </w:rPr>
      </w:pPr>
      <w:r w:rsidRPr="007B773D">
        <w:rPr>
          <w:rFonts w:ascii="Arial" w:hAnsi="Arial" w:cs="Arial"/>
          <w:b/>
        </w:rPr>
        <w:t xml:space="preserve">Meeting of the </w:t>
      </w:r>
      <w:r w:rsidR="00F62026">
        <w:rPr>
          <w:rFonts w:ascii="Arial" w:hAnsi="Arial" w:cs="Arial"/>
          <w:b/>
        </w:rPr>
        <w:t>h</w:t>
      </w:r>
      <w:r w:rsidRPr="007B773D">
        <w:rPr>
          <w:rFonts w:ascii="Arial" w:hAnsi="Arial" w:cs="Arial"/>
          <w:b/>
        </w:rPr>
        <w:t xml:space="preserve">ousing </w:t>
      </w:r>
      <w:r w:rsidR="00F62026">
        <w:rPr>
          <w:rFonts w:ascii="Arial" w:hAnsi="Arial" w:cs="Arial"/>
          <w:b/>
        </w:rPr>
        <w:t>l</w:t>
      </w:r>
      <w:r w:rsidRPr="007B773D">
        <w:rPr>
          <w:rFonts w:ascii="Arial" w:hAnsi="Arial" w:cs="Arial"/>
          <w:b/>
        </w:rPr>
        <w:t xml:space="preserve">aw </w:t>
      </w:r>
      <w:r w:rsidR="00F62026">
        <w:rPr>
          <w:rFonts w:ascii="Arial" w:hAnsi="Arial" w:cs="Arial"/>
          <w:b/>
        </w:rPr>
        <w:t>w</w:t>
      </w:r>
      <w:r w:rsidRPr="007B773D">
        <w:rPr>
          <w:rFonts w:ascii="Arial" w:hAnsi="Arial" w:cs="Arial"/>
          <w:b/>
        </w:rPr>
        <w:t xml:space="preserve">orking </w:t>
      </w:r>
      <w:r w:rsidR="00F62026">
        <w:rPr>
          <w:rFonts w:ascii="Arial" w:hAnsi="Arial" w:cs="Arial"/>
          <w:b/>
        </w:rPr>
        <w:t>g</w:t>
      </w:r>
      <w:r w:rsidRPr="007B773D">
        <w:rPr>
          <w:rFonts w:ascii="Arial" w:hAnsi="Arial" w:cs="Arial"/>
          <w:b/>
        </w:rPr>
        <w:t xml:space="preserve">roup </w:t>
      </w:r>
    </w:p>
    <w:p w:rsidR="007B773D" w:rsidRPr="007B773D" w:rsidRDefault="007B773D" w:rsidP="007B773D">
      <w:pPr>
        <w:spacing w:before="120" w:after="120" w:line="240" w:lineRule="auto"/>
        <w:ind w:left="540"/>
        <w:rPr>
          <w:rFonts w:ascii="Arial" w:eastAsia="Times New Roman" w:hAnsi="Arial" w:cs="Arial"/>
          <w:lang w:eastAsia="en-AU"/>
        </w:rPr>
      </w:pPr>
      <w:r w:rsidRPr="007B773D">
        <w:rPr>
          <w:rFonts w:ascii="Arial" w:eastAsia="Times New Roman" w:hAnsi="Arial" w:cs="Arial"/>
          <w:lang w:eastAsia="en-AU"/>
        </w:rPr>
        <w:t>The following organisations are represented on the working group.</w:t>
      </w:r>
    </w:p>
    <w:p w:rsidR="00F62026" w:rsidRDefault="007B773D" w:rsidP="007B773D">
      <w:pPr>
        <w:numPr>
          <w:ilvl w:val="0"/>
          <w:numId w:val="1"/>
        </w:numPr>
        <w:tabs>
          <w:tab w:val="left" w:pos="540"/>
          <w:tab w:val="num" w:pos="1080"/>
          <w:tab w:val="left" w:pos="1418"/>
        </w:tabs>
        <w:spacing w:after="0" w:line="240" w:lineRule="auto"/>
        <w:ind w:left="1080" w:hanging="540"/>
        <w:rPr>
          <w:rFonts w:ascii="Arial" w:eastAsia="Times New Roman" w:hAnsi="Arial" w:cs="Arial"/>
          <w:lang w:eastAsia="en-AU"/>
        </w:rPr>
      </w:pPr>
      <w:r w:rsidRPr="00F62026">
        <w:rPr>
          <w:rFonts w:ascii="Arial" w:eastAsia="Times New Roman" w:hAnsi="Arial" w:cs="Arial"/>
          <w:lang w:eastAsia="en-AU"/>
        </w:rPr>
        <w:t>CLCs (</w:t>
      </w:r>
      <w:r w:rsidR="00F62026">
        <w:rPr>
          <w:rFonts w:ascii="Arial" w:eastAsia="Times New Roman" w:hAnsi="Arial" w:cs="Arial"/>
          <w:lang w:eastAsia="en-AU"/>
        </w:rPr>
        <w:t>Kingsford Legal Centre</w:t>
      </w:r>
      <w:r w:rsidR="003C0BCF">
        <w:rPr>
          <w:rFonts w:ascii="Arial" w:eastAsia="Times New Roman" w:hAnsi="Arial" w:cs="Arial"/>
          <w:lang w:eastAsia="en-AU"/>
        </w:rPr>
        <w:t>, Macarthur Legal Centre</w:t>
      </w:r>
      <w:r w:rsidR="00F62026">
        <w:rPr>
          <w:rFonts w:ascii="Arial" w:eastAsia="Times New Roman" w:hAnsi="Arial" w:cs="Arial"/>
          <w:lang w:eastAsia="en-AU"/>
        </w:rPr>
        <w:t>)</w:t>
      </w:r>
    </w:p>
    <w:p w:rsidR="007B773D" w:rsidRDefault="007B773D" w:rsidP="007B773D">
      <w:pPr>
        <w:numPr>
          <w:ilvl w:val="0"/>
          <w:numId w:val="1"/>
        </w:numPr>
        <w:tabs>
          <w:tab w:val="left" w:pos="540"/>
          <w:tab w:val="num" w:pos="1080"/>
          <w:tab w:val="left" w:pos="1418"/>
        </w:tabs>
        <w:spacing w:after="0" w:line="240" w:lineRule="auto"/>
        <w:ind w:left="1080" w:hanging="540"/>
        <w:rPr>
          <w:rFonts w:ascii="Arial" w:eastAsia="Times New Roman" w:hAnsi="Arial" w:cs="Arial"/>
          <w:lang w:eastAsia="en-AU"/>
        </w:rPr>
      </w:pPr>
      <w:r w:rsidRPr="00F62026">
        <w:rPr>
          <w:rFonts w:ascii="Arial" w:eastAsia="Times New Roman" w:hAnsi="Arial" w:cs="Arial"/>
          <w:lang w:eastAsia="en-AU"/>
        </w:rPr>
        <w:t xml:space="preserve">LawAccess NSW </w:t>
      </w:r>
    </w:p>
    <w:p w:rsidR="003C0BCF" w:rsidRPr="00F62026" w:rsidRDefault="003C0BCF" w:rsidP="007B773D">
      <w:pPr>
        <w:numPr>
          <w:ilvl w:val="0"/>
          <w:numId w:val="1"/>
        </w:numPr>
        <w:tabs>
          <w:tab w:val="left" w:pos="540"/>
          <w:tab w:val="num" w:pos="1080"/>
          <w:tab w:val="left" w:pos="1418"/>
        </w:tabs>
        <w:spacing w:after="0" w:line="240" w:lineRule="auto"/>
        <w:ind w:left="1080" w:hanging="540"/>
        <w:rPr>
          <w:rFonts w:ascii="Arial" w:eastAsia="Times New Roman" w:hAnsi="Arial" w:cs="Arial"/>
          <w:lang w:eastAsia="en-AU"/>
        </w:rPr>
      </w:pPr>
      <w:r>
        <w:rPr>
          <w:rFonts w:ascii="Arial" w:eastAsia="Times New Roman" w:hAnsi="Arial" w:cs="Arial"/>
          <w:lang w:eastAsia="en-AU"/>
        </w:rPr>
        <w:t>Law Society of NSW</w:t>
      </w:r>
    </w:p>
    <w:p w:rsidR="007B773D" w:rsidRPr="007B773D" w:rsidRDefault="007B773D" w:rsidP="007B773D">
      <w:pPr>
        <w:numPr>
          <w:ilvl w:val="0"/>
          <w:numId w:val="1"/>
        </w:numPr>
        <w:tabs>
          <w:tab w:val="left" w:pos="540"/>
          <w:tab w:val="num" w:pos="1080"/>
          <w:tab w:val="left" w:pos="1418"/>
        </w:tabs>
        <w:spacing w:after="0" w:line="240" w:lineRule="auto"/>
        <w:ind w:left="1080" w:hanging="540"/>
        <w:rPr>
          <w:rFonts w:ascii="Arial" w:eastAsia="Times New Roman" w:hAnsi="Arial" w:cs="Arial"/>
          <w:lang w:eastAsia="en-AU"/>
        </w:rPr>
      </w:pPr>
      <w:r w:rsidRPr="007B773D">
        <w:rPr>
          <w:rFonts w:ascii="Arial" w:eastAsia="Times New Roman" w:hAnsi="Arial" w:cs="Arial"/>
          <w:lang w:eastAsia="en-AU"/>
        </w:rPr>
        <w:t xml:space="preserve">Legal Aid NSW </w:t>
      </w:r>
    </w:p>
    <w:p w:rsidR="007B773D" w:rsidRDefault="007B773D" w:rsidP="007B773D">
      <w:pPr>
        <w:numPr>
          <w:ilvl w:val="0"/>
          <w:numId w:val="1"/>
        </w:numPr>
        <w:tabs>
          <w:tab w:val="left" w:pos="540"/>
          <w:tab w:val="num" w:pos="1080"/>
          <w:tab w:val="left" w:pos="1418"/>
        </w:tabs>
        <w:spacing w:after="0" w:line="240" w:lineRule="auto"/>
        <w:ind w:left="1080" w:hanging="540"/>
        <w:rPr>
          <w:rFonts w:ascii="Arial" w:eastAsia="Times New Roman" w:hAnsi="Arial" w:cs="Arial"/>
          <w:lang w:eastAsia="en-AU"/>
        </w:rPr>
      </w:pPr>
      <w:r>
        <w:rPr>
          <w:rFonts w:ascii="Arial" w:eastAsia="Times New Roman" w:hAnsi="Arial" w:cs="Arial"/>
          <w:lang w:eastAsia="en-AU"/>
        </w:rPr>
        <w:t>Tenants</w:t>
      </w:r>
      <w:r w:rsidR="00072A9D">
        <w:rPr>
          <w:rFonts w:ascii="Arial" w:eastAsia="Times New Roman" w:hAnsi="Arial" w:cs="Arial"/>
          <w:lang w:eastAsia="en-AU"/>
        </w:rPr>
        <w:t>’</w:t>
      </w:r>
      <w:r>
        <w:rPr>
          <w:rFonts w:ascii="Arial" w:eastAsia="Times New Roman" w:hAnsi="Arial" w:cs="Arial"/>
          <w:lang w:eastAsia="en-AU"/>
        </w:rPr>
        <w:t xml:space="preserve"> Union</w:t>
      </w:r>
    </w:p>
    <w:p w:rsidR="007B773D" w:rsidRDefault="00072A9D" w:rsidP="007B773D">
      <w:pPr>
        <w:numPr>
          <w:ilvl w:val="0"/>
          <w:numId w:val="1"/>
        </w:numPr>
        <w:tabs>
          <w:tab w:val="left" w:pos="540"/>
          <w:tab w:val="num" w:pos="1080"/>
          <w:tab w:val="left" w:pos="1418"/>
        </w:tabs>
        <w:spacing w:after="0" w:line="240" w:lineRule="auto"/>
        <w:ind w:left="1080" w:hanging="540"/>
        <w:rPr>
          <w:rFonts w:ascii="Arial" w:eastAsia="Times New Roman" w:hAnsi="Arial" w:cs="Arial"/>
          <w:lang w:eastAsia="en-AU"/>
        </w:rPr>
      </w:pPr>
      <w:r>
        <w:rPr>
          <w:rFonts w:ascii="Arial" w:eastAsia="Times New Roman" w:hAnsi="Arial" w:cs="Arial"/>
          <w:lang w:eastAsia="en-AU"/>
        </w:rPr>
        <w:t>Public Interest Advocacy Centre,</w:t>
      </w:r>
      <w:r w:rsidR="007B773D">
        <w:rPr>
          <w:rFonts w:ascii="Arial" w:eastAsia="Times New Roman" w:hAnsi="Arial" w:cs="Arial"/>
          <w:lang w:eastAsia="en-AU"/>
        </w:rPr>
        <w:t xml:space="preserve"> including the Homeless Persons</w:t>
      </w:r>
      <w:r>
        <w:rPr>
          <w:rFonts w:ascii="Arial" w:eastAsia="Times New Roman" w:hAnsi="Arial" w:cs="Arial"/>
          <w:lang w:eastAsia="en-AU"/>
        </w:rPr>
        <w:t>’</w:t>
      </w:r>
      <w:r w:rsidR="007B773D">
        <w:rPr>
          <w:rFonts w:ascii="Arial" w:eastAsia="Times New Roman" w:hAnsi="Arial" w:cs="Arial"/>
          <w:lang w:eastAsia="en-AU"/>
        </w:rPr>
        <w:t xml:space="preserve"> Legal Service</w:t>
      </w:r>
    </w:p>
    <w:p w:rsidR="007B773D" w:rsidRDefault="00072A9D" w:rsidP="007B773D">
      <w:pPr>
        <w:numPr>
          <w:ilvl w:val="0"/>
          <w:numId w:val="1"/>
        </w:numPr>
        <w:tabs>
          <w:tab w:val="left" w:pos="540"/>
          <w:tab w:val="num" w:pos="1080"/>
          <w:tab w:val="left" w:pos="1418"/>
        </w:tabs>
        <w:spacing w:after="0" w:line="240" w:lineRule="auto"/>
        <w:ind w:left="1080" w:hanging="540"/>
        <w:rPr>
          <w:rFonts w:ascii="Arial" w:eastAsia="Times New Roman" w:hAnsi="Arial" w:cs="Arial"/>
          <w:lang w:eastAsia="en-AU"/>
        </w:rPr>
      </w:pPr>
      <w:r>
        <w:rPr>
          <w:rFonts w:ascii="Arial" w:eastAsia="Times New Roman" w:hAnsi="Arial" w:cs="Arial"/>
          <w:lang w:eastAsia="en-AU"/>
        </w:rPr>
        <w:t>Justice Connect</w:t>
      </w:r>
    </w:p>
    <w:p w:rsidR="007B773D" w:rsidRPr="007B773D" w:rsidRDefault="007B773D" w:rsidP="00B3632D">
      <w:pPr>
        <w:numPr>
          <w:ilvl w:val="0"/>
          <w:numId w:val="1"/>
        </w:numPr>
        <w:tabs>
          <w:tab w:val="left" w:pos="540"/>
          <w:tab w:val="num" w:pos="1080"/>
          <w:tab w:val="left" w:pos="1418"/>
        </w:tabs>
        <w:spacing w:after="120" w:line="240" w:lineRule="auto"/>
        <w:ind w:left="1078" w:hanging="539"/>
        <w:rPr>
          <w:rFonts w:ascii="Arial" w:eastAsia="Times New Roman" w:hAnsi="Arial" w:cs="Arial"/>
          <w:lang w:eastAsia="en-AU"/>
        </w:rPr>
      </w:pPr>
      <w:r>
        <w:rPr>
          <w:rFonts w:ascii="Arial" w:eastAsia="Times New Roman" w:hAnsi="Arial" w:cs="Arial"/>
          <w:lang w:eastAsia="en-AU"/>
        </w:rPr>
        <w:t>Mental Health Coordinating Council</w:t>
      </w:r>
    </w:p>
    <w:p w:rsidR="007B773D" w:rsidRPr="007B773D" w:rsidRDefault="007B773D" w:rsidP="007B773D">
      <w:pPr>
        <w:spacing w:after="0" w:line="240" w:lineRule="auto"/>
        <w:ind w:left="540"/>
        <w:rPr>
          <w:rFonts w:ascii="Arial" w:hAnsi="Arial" w:cs="Arial"/>
        </w:rPr>
      </w:pPr>
      <w:r>
        <w:rPr>
          <w:rFonts w:ascii="Arial" w:hAnsi="Arial" w:cs="Arial"/>
        </w:rPr>
        <w:t xml:space="preserve">The working group </w:t>
      </w:r>
      <w:r w:rsidRPr="007B773D">
        <w:rPr>
          <w:rFonts w:ascii="Arial" w:hAnsi="Arial" w:cs="Arial"/>
        </w:rPr>
        <w:t xml:space="preserve">met on </w:t>
      </w:r>
      <w:r w:rsidR="00FA25A1">
        <w:rPr>
          <w:rFonts w:ascii="Arial" w:hAnsi="Arial" w:cs="Arial"/>
        </w:rPr>
        <w:t xml:space="preserve">11 November </w:t>
      </w:r>
      <w:r w:rsidRPr="007B773D">
        <w:rPr>
          <w:rFonts w:ascii="Arial" w:hAnsi="Arial" w:cs="Arial"/>
        </w:rPr>
        <w:t xml:space="preserve">2013 </w:t>
      </w:r>
      <w:r>
        <w:rPr>
          <w:rFonts w:ascii="Arial" w:hAnsi="Arial" w:cs="Arial"/>
        </w:rPr>
        <w:t xml:space="preserve">at the </w:t>
      </w:r>
      <w:r w:rsidRPr="007B773D">
        <w:rPr>
          <w:rFonts w:ascii="Arial" w:hAnsi="Arial" w:cs="Arial"/>
        </w:rPr>
        <w:t>offices of the Public Interest Advocacy Centre (PIAC).</w:t>
      </w:r>
    </w:p>
    <w:p w:rsidR="007B773D" w:rsidRPr="007B773D" w:rsidRDefault="007B773D" w:rsidP="007B773D">
      <w:pPr>
        <w:spacing w:before="120" w:after="120" w:line="240" w:lineRule="auto"/>
        <w:ind w:left="540" w:hanging="540"/>
        <w:rPr>
          <w:rFonts w:ascii="Arial" w:eastAsia="Times New Roman" w:hAnsi="Arial" w:cs="Arial"/>
          <w:b/>
          <w:lang w:eastAsia="en-AU"/>
        </w:rPr>
      </w:pPr>
      <w:r w:rsidRPr="007B773D">
        <w:rPr>
          <w:rFonts w:ascii="Arial" w:eastAsia="Times New Roman" w:hAnsi="Arial" w:cs="Arial"/>
          <w:b/>
          <w:lang w:eastAsia="en-AU"/>
        </w:rPr>
        <w:t>2.</w:t>
      </w:r>
      <w:r w:rsidRPr="007B773D">
        <w:rPr>
          <w:rFonts w:ascii="Arial" w:eastAsia="Times New Roman" w:hAnsi="Arial" w:cs="Arial"/>
          <w:b/>
          <w:lang w:eastAsia="en-AU"/>
        </w:rPr>
        <w:tab/>
        <w:t>Activities / outcomes</w:t>
      </w:r>
    </w:p>
    <w:p w:rsidR="00D77BC3" w:rsidRDefault="007B773D" w:rsidP="00CE6AF8">
      <w:pPr>
        <w:spacing w:before="120" w:after="120" w:line="240" w:lineRule="auto"/>
        <w:ind w:left="540" w:hanging="540"/>
        <w:rPr>
          <w:rFonts w:ascii="Arial" w:eastAsia="Times New Roman" w:hAnsi="Arial" w:cs="Arial"/>
          <w:lang w:eastAsia="en-AU"/>
        </w:rPr>
      </w:pPr>
      <w:r w:rsidRPr="007B773D">
        <w:rPr>
          <w:rFonts w:ascii="Arial" w:eastAsia="Times New Roman" w:hAnsi="Arial" w:cs="Arial"/>
          <w:lang w:eastAsia="en-AU"/>
        </w:rPr>
        <w:tab/>
        <w:t>The objectives of the working group are set out in its Terms of Reference.  This report outlines the progress of the group towards achieving these objectives:</w:t>
      </w:r>
    </w:p>
    <w:p w:rsidR="0007079F" w:rsidRPr="0007079F" w:rsidRDefault="00CE6AF8" w:rsidP="0007079F">
      <w:pPr>
        <w:pStyle w:val="ListParagraph"/>
        <w:numPr>
          <w:ilvl w:val="1"/>
          <w:numId w:val="8"/>
        </w:numPr>
        <w:spacing w:after="120" w:line="240" w:lineRule="auto"/>
        <w:ind w:left="567" w:hanging="567"/>
        <w:contextualSpacing w:val="0"/>
        <w:rPr>
          <w:rFonts w:ascii="Arial" w:eastAsia="Times New Roman" w:hAnsi="Arial" w:cs="Arial"/>
          <w:b/>
          <w:lang w:eastAsia="en-AU"/>
        </w:rPr>
      </w:pPr>
      <w:r w:rsidRPr="0007079F">
        <w:rPr>
          <w:rFonts w:ascii="Arial" w:eastAsia="Times New Roman" w:hAnsi="Arial" w:cs="Arial"/>
          <w:b/>
          <w:i/>
          <w:lang w:eastAsia="en-AU"/>
        </w:rPr>
        <w:t>Identify practices / systems / models of service provision that are successful in supporting vulnerable people at risk of homelessness to maintain and sustain their tenancies</w:t>
      </w:r>
      <w:r w:rsidRPr="0007079F">
        <w:rPr>
          <w:rFonts w:ascii="Arial" w:eastAsia="Times New Roman" w:hAnsi="Arial" w:cs="Arial"/>
          <w:b/>
          <w:lang w:eastAsia="en-AU"/>
        </w:rPr>
        <w:t xml:space="preserve">.  </w:t>
      </w:r>
    </w:p>
    <w:p w:rsidR="00861794" w:rsidRDefault="00CE6AF8" w:rsidP="0007079F">
      <w:pPr>
        <w:pStyle w:val="ListParagraph"/>
        <w:spacing w:after="120" w:line="240" w:lineRule="auto"/>
        <w:ind w:left="567"/>
        <w:rPr>
          <w:rFonts w:ascii="Arial" w:eastAsia="Times New Roman" w:hAnsi="Arial" w:cs="Arial"/>
          <w:lang w:eastAsia="en-AU"/>
        </w:rPr>
      </w:pPr>
      <w:r w:rsidRPr="00FA25A1">
        <w:rPr>
          <w:rFonts w:ascii="Arial" w:eastAsia="Times New Roman" w:hAnsi="Arial" w:cs="Arial"/>
          <w:lang w:eastAsia="en-AU"/>
        </w:rPr>
        <w:t xml:space="preserve">The working group has begun to identify relevant models and </w:t>
      </w:r>
      <w:r w:rsidR="0007079F" w:rsidRPr="00FA25A1">
        <w:rPr>
          <w:rFonts w:ascii="Arial" w:eastAsia="Times New Roman" w:hAnsi="Arial" w:cs="Arial"/>
          <w:lang w:eastAsia="en-AU"/>
        </w:rPr>
        <w:t>practices.  Reports and explanations of the programs are being progressively uploaded to the NLAF housing law working group webpage on the NLAF website.</w:t>
      </w:r>
    </w:p>
    <w:p w:rsidR="00FA25A1" w:rsidRDefault="00FA25A1" w:rsidP="0007079F">
      <w:pPr>
        <w:pStyle w:val="ListParagraph"/>
        <w:spacing w:after="120" w:line="240" w:lineRule="auto"/>
        <w:ind w:left="567"/>
        <w:rPr>
          <w:rFonts w:ascii="Arial" w:eastAsia="Times New Roman" w:hAnsi="Arial" w:cs="Arial"/>
          <w:lang w:eastAsia="en-AU"/>
        </w:rPr>
      </w:pPr>
    </w:p>
    <w:p w:rsidR="00FA25A1" w:rsidRPr="00FA25A1" w:rsidRDefault="00FA25A1" w:rsidP="0007079F">
      <w:pPr>
        <w:pStyle w:val="ListParagraph"/>
        <w:spacing w:after="120" w:line="240" w:lineRule="auto"/>
        <w:ind w:left="567"/>
        <w:rPr>
          <w:rFonts w:ascii="Arial" w:eastAsia="Times New Roman" w:hAnsi="Arial" w:cs="Arial"/>
          <w:lang w:eastAsia="en-AU"/>
        </w:rPr>
      </w:pPr>
      <w:r>
        <w:rPr>
          <w:rFonts w:ascii="Arial" w:eastAsia="Times New Roman" w:hAnsi="Arial" w:cs="Arial"/>
          <w:lang w:eastAsia="en-AU"/>
        </w:rPr>
        <w:t xml:space="preserve">There was discussion of PIAC’s recent report, </w:t>
      </w:r>
      <w:r>
        <w:rPr>
          <w:rFonts w:ascii="Arial" w:eastAsia="Times New Roman" w:hAnsi="Arial" w:cs="Arial"/>
          <w:i/>
          <w:lang w:eastAsia="en-AU"/>
        </w:rPr>
        <w:t>Skating on Thin Ice</w:t>
      </w:r>
      <w:r>
        <w:rPr>
          <w:rFonts w:ascii="Arial" w:eastAsia="Times New Roman" w:hAnsi="Arial" w:cs="Arial"/>
          <w:lang w:eastAsia="en-AU"/>
        </w:rPr>
        <w:t xml:space="preserve">, which </w:t>
      </w:r>
      <w:r w:rsidRPr="00FA25A1">
        <w:rPr>
          <w:rFonts w:ascii="Arial" w:eastAsia="Times New Roman" w:hAnsi="Arial" w:cs="Arial"/>
          <w:lang w:val="en-US" w:eastAsia="en-AU"/>
        </w:rPr>
        <w:t>looks at issues faced by people with mental illnesses in applying for and sustaining tenancies</w:t>
      </w:r>
      <w:r>
        <w:rPr>
          <w:rFonts w:ascii="Arial" w:eastAsia="Times New Roman" w:hAnsi="Arial" w:cs="Arial"/>
          <w:lang w:eastAsia="en-AU"/>
        </w:rPr>
        <w:t xml:space="preserve">. </w:t>
      </w:r>
    </w:p>
    <w:p w:rsidR="005E5A78" w:rsidRPr="0007079F" w:rsidRDefault="00861794" w:rsidP="005E5A78">
      <w:pPr>
        <w:tabs>
          <w:tab w:val="left" w:pos="567"/>
        </w:tabs>
        <w:spacing w:after="120"/>
        <w:rPr>
          <w:rFonts w:ascii="Arial" w:eastAsia="Times New Roman" w:hAnsi="Arial" w:cs="Arial"/>
          <w:b/>
          <w:lang w:val="en-US"/>
        </w:rPr>
      </w:pPr>
      <w:r>
        <w:rPr>
          <w:rFonts w:ascii="Arial" w:eastAsia="Times New Roman" w:hAnsi="Arial" w:cs="Arial"/>
          <w:b/>
          <w:lang w:eastAsia="en-AU"/>
        </w:rPr>
        <w:t>2.2</w:t>
      </w:r>
      <w:r>
        <w:rPr>
          <w:rFonts w:ascii="Arial" w:eastAsia="Times New Roman" w:hAnsi="Arial" w:cs="Arial"/>
          <w:b/>
          <w:lang w:eastAsia="en-AU"/>
        </w:rPr>
        <w:tab/>
      </w:r>
      <w:r w:rsidR="005E5A78" w:rsidRPr="005E5A78">
        <w:rPr>
          <w:rFonts w:ascii="Arial" w:eastAsia="Times New Roman" w:hAnsi="Arial" w:cs="Arial"/>
          <w:b/>
          <w:i/>
          <w:lang w:val="en-US"/>
        </w:rPr>
        <w:t>Engage with Housing NSW</w:t>
      </w:r>
    </w:p>
    <w:p w:rsidR="005E5A78" w:rsidRPr="005E5A78" w:rsidRDefault="005E5A78" w:rsidP="005E5A78">
      <w:pPr>
        <w:spacing w:after="120" w:line="240" w:lineRule="auto"/>
        <w:ind w:left="567"/>
        <w:rPr>
          <w:rFonts w:ascii="Arial" w:eastAsia="Times New Roman" w:hAnsi="Arial" w:cs="Arial"/>
          <w:i/>
          <w:lang w:val="en-US"/>
        </w:rPr>
      </w:pPr>
      <w:r w:rsidRPr="005E5A78">
        <w:rPr>
          <w:rFonts w:ascii="Arial" w:eastAsia="Times New Roman" w:hAnsi="Arial" w:cs="Arial"/>
          <w:i/>
          <w:lang w:val="en-US"/>
        </w:rPr>
        <w:t>Engage with Housing NSW to develop a constructive working relationship in which to address the housing related legal issues of tenants living in social housing.</w:t>
      </w:r>
    </w:p>
    <w:p w:rsidR="005E5A78" w:rsidRDefault="005E5A78" w:rsidP="005E5A78">
      <w:pPr>
        <w:spacing w:after="120" w:line="240" w:lineRule="auto"/>
        <w:ind w:left="567"/>
        <w:rPr>
          <w:rFonts w:ascii="Arial" w:eastAsia="Times New Roman" w:hAnsi="Arial" w:cs="Arial"/>
          <w:i/>
          <w:lang w:val="en-US"/>
        </w:rPr>
      </w:pPr>
      <w:r w:rsidRPr="005E5A78">
        <w:rPr>
          <w:rFonts w:ascii="Arial" w:eastAsia="Times New Roman" w:hAnsi="Arial" w:cs="Arial"/>
          <w:i/>
          <w:lang w:val="en-US"/>
        </w:rPr>
        <w:t xml:space="preserve">Engage with Housing NSW to facilitate access to assistance (both legal and non legal) for tenants at risk of losing their tenancy. </w:t>
      </w:r>
    </w:p>
    <w:p w:rsidR="008E0F35" w:rsidRDefault="00072A9D" w:rsidP="006D7EAA">
      <w:pPr>
        <w:spacing w:after="120" w:line="240" w:lineRule="auto"/>
        <w:ind w:left="567"/>
        <w:rPr>
          <w:rFonts w:ascii="Arial" w:eastAsia="Times New Roman" w:hAnsi="Arial" w:cs="Arial"/>
          <w:lang w:val="en-US"/>
        </w:rPr>
      </w:pPr>
      <w:r>
        <w:rPr>
          <w:rFonts w:ascii="Arial" w:eastAsia="Times New Roman" w:hAnsi="Arial" w:cs="Arial"/>
          <w:lang w:val="en-US"/>
        </w:rPr>
        <w:t>The Working Group has developed a good relationship with Housing NS</w:t>
      </w:r>
      <w:r w:rsidR="008E0F35">
        <w:rPr>
          <w:rFonts w:ascii="Arial" w:eastAsia="Times New Roman" w:hAnsi="Arial" w:cs="Arial"/>
          <w:lang w:val="en-US"/>
        </w:rPr>
        <w:t>W, with a focus on three issues. The first is improving the practice of Housing NSW to deal with and process requests, and CTTT orders, for housing repairs. There has been good dialogue with Housing NSW on this issue, and information sharing about the scope of the problem and methods to improve Housing NSW’s processes for ensuring that housing repairs take place in a timely manner. Further dialogue is expected on this issue.</w:t>
      </w:r>
    </w:p>
    <w:p w:rsidR="00F5789A" w:rsidRDefault="000F011E" w:rsidP="006D7EAA">
      <w:pPr>
        <w:spacing w:after="120" w:line="240" w:lineRule="auto"/>
        <w:ind w:left="567"/>
        <w:rPr>
          <w:rFonts w:ascii="Arial" w:eastAsia="Times New Roman" w:hAnsi="Arial" w:cs="Arial"/>
          <w:lang w:val="en-US"/>
        </w:rPr>
      </w:pPr>
      <w:r>
        <w:rPr>
          <w:rFonts w:ascii="Arial" w:eastAsia="Times New Roman" w:hAnsi="Arial" w:cs="Arial"/>
          <w:lang w:val="en-US"/>
        </w:rPr>
        <w:t xml:space="preserve">The second </w:t>
      </w:r>
      <w:r w:rsidR="00257C88">
        <w:rPr>
          <w:rFonts w:ascii="Arial" w:eastAsia="Times New Roman" w:hAnsi="Arial" w:cs="Arial"/>
          <w:lang w:val="en-US"/>
        </w:rPr>
        <w:t xml:space="preserve">point of engagement is intended to develop </w:t>
      </w:r>
      <w:r>
        <w:rPr>
          <w:rFonts w:ascii="Arial" w:eastAsia="Times New Roman" w:hAnsi="Arial" w:cs="Arial"/>
          <w:lang w:val="en-US"/>
        </w:rPr>
        <w:t xml:space="preserve">policies and practices within Housing NSW, which ensure that tenants are not evicted </w:t>
      </w:r>
      <w:r w:rsidR="00257C88">
        <w:rPr>
          <w:rFonts w:ascii="Arial" w:eastAsia="Times New Roman" w:hAnsi="Arial" w:cs="Arial"/>
          <w:lang w:val="en-US"/>
        </w:rPr>
        <w:t xml:space="preserve">for rent arrears, except as a measure of last resort. Discussion has been held with Housing NSW to improve and broaden its methods for contacting tenants who are in rent arrears so that there are more ‘early warnings’ given to tenants and more creative approaches taken to allow a tenant who is struggling to pay their rent to do so over a period of time, or through a mechanism such as </w:t>
      </w:r>
      <w:proofErr w:type="spellStart"/>
      <w:r w:rsidR="00257C88">
        <w:rPr>
          <w:rFonts w:ascii="Arial" w:eastAsia="Times New Roman" w:hAnsi="Arial" w:cs="Arial"/>
          <w:lang w:val="en-US"/>
        </w:rPr>
        <w:t>Centrepay</w:t>
      </w:r>
      <w:proofErr w:type="spellEnd"/>
      <w:r w:rsidR="00257C88">
        <w:rPr>
          <w:rFonts w:ascii="Arial" w:eastAsia="Times New Roman" w:hAnsi="Arial" w:cs="Arial"/>
          <w:lang w:val="en-US"/>
        </w:rPr>
        <w:t xml:space="preserve">. There has also been discussion about the varying practices in different Housing NSW offices, and </w:t>
      </w:r>
      <w:r w:rsidR="00F5789A">
        <w:rPr>
          <w:rFonts w:ascii="Arial" w:eastAsia="Times New Roman" w:hAnsi="Arial" w:cs="Arial"/>
          <w:lang w:val="en-US"/>
        </w:rPr>
        <w:t>discussion about training to ensure more consistent service practices that focus on achieving best practice.</w:t>
      </w:r>
    </w:p>
    <w:p w:rsidR="00E11903" w:rsidRDefault="00F5789A" w:rsidP="006D7EAA">
      <w:pPr>
        <w:spacing w:after="120" w:line="240" w:lineRule="auto"/>
        <w:ind w:left="567"/>
        <w:rPr>
          <w:rFonts w:ascii="Arial" w:eastAsia="Times New Roman" w:hAnsi="Arial" w:cs="Arial"/>
          <w:lang w:val="en-US"/>
        </w:rPr>
      </w:pPr>
      <w:r>
        <w:rPr>
          <w:rFonts w:ascii="Arial" w:eastAsia="Times New Roman" w:hAnsi="Arial" w:cs="Arial"/>
          <w:lang w:val="en-US"/>
        </w:rPr>
        <w:lastRenderedPageBreak/>
        <w:t xml:space="preserve">The third area has been on training for Housing NSW client service officers (CSOs) in how to deal with tenants who have a mental illness. There was agreement that the ability of CSOs to </w:t>
      </w:r>
      <w:proofErr w:type="spellStart"/>
      <w:proofErr w:type="gramStart"/>
      <w:r>
        <w:rPr>
          <w:rFonts w:ascii="Arial" w:eastAsia="Times New Roman" w:hAnsi="Arial" w:cs="Arial"/>
          <w:lang w:val="en-US"/>
        </w:rPr>
        <w:t>recognise</w:t>
      </w:r>
      <w:proofErr w:type="spellEnd"/>
      <w:r>
        <w:rPr>
          <w:rFonts w:ascii="Arial" w:eastAsia="Times New Roman" w:hAnsi="Arial" w:cs="Arial"/>
          <w:lang w:val="en-US"/>
        </w:rPr>
        <w:t xml:space="preserve">  mental</w:t>
      </w:r>
      <w:proofErr w:type="gramEnd"/>
      <w:r>
        <w:rPr>
          <w:rFonts w:ascii="Arial" w:eastAsia="Times New Roman" w:hAnsi="Arial" w:cs="Arial"/>
          <w:lang w:val="en-US"/>
        </w:rPr>
        <w:t xml:space="preserve"> health issues and work confidently and effectively with affected clients varies markedly across Housing NSW offices.</w:t>
      </w:r>
      <w:r w:rsidR="00E11903">
        <w:rPr>
          <w:rFonts w:ascii="Arial" w:eastAsia="Times New Roman" w:hAnsi="Arial" w:cs="Arial"/>
          <w:lang w:val="en-US"/>
        </w:rPr>
        <w:t xml:space="preserve"> Housing NSW is committed to improving its training in this regard, and will work with Working Group members to develop and implement appropriate training for CSOs.</w:t>
      </w:r>
    </w:p>
    <w:p w:rsidR="00E11903" w:rsidRDefault="00E11903" w:rsidP="004C5045">
      <w:pPr>
        <w:spacing w:after="120" w:line="240" w:lineRule="auto"/>
        <w:ind w:left="567"/>
        <w:rPr>
          <w:rFonts w:ascii="Arial" w:eastAsia="Times New Roman" w:hAnsi="Arial" w:cs="Arial"/>
          <w:lang w:val="en-US"/>
        </w:rPr>
      </w:pPr>
      <w:r>
        <w:rPr>
          <w:rFonts w:ascii="Arial" w:eastAsia="Times New Roman" w:hAnsi="Arial" w:cs="Arial"/>
          <w:lang w:val="en-US"/>
        </w:rPr>
        <w:t>Housing NSW is also engaging with consumer representatives on this issue through forums such as the NSW Premier’s Council on Homelessness.</w:t>
      </w:r>
    </w:p>
    <w:p w:rsidR="008E0F35" w:rsidRPr="008E0F35" w:rsidRDefault="008E0F35" w:rsidP="00E11903">
      <w:pPr>
        <w:pStyle w:val="ListParagraph"/>
        <w:spacing w:after="120" w:line="240" w:lineRule="auto"/>
        <w:ind w:left="1287"/>
        <w:rPr>
          <w:rFonts w:ascii="Arial" w:eastAsia="Times New Roman" w:hAnsi="Arial" w:cs="Arial"/>
          <w:lang w:val="en-US"/>
        </w:rPr>
      </w:pPr>
    </w:p>
    <w:p w:rsidR="005E5A78" w:rsidRPr="0007079F" w:rsidRDefault="005E5A78" w:rsidP="005E5A78">
      <w:pPr>
        <w:tabs>
          <w:tab w:val="left" w:pos="567"/>
        </w:tabs>
        <w:spacing w:after="120" w:line="240" w:lineRule="auto"/>
        <w:rPr>
          <w:rFonts w:ascii="Arial" w:eastAsia="Times New Roman" w:hAnsi="Arial" w:cs="Arial"/>
          <w:b/>
          <w:i/>
          <w:lang w:val="en-US"/>
        </w:rPr>
      </w:pPr>
      <w:r w:rsidRPr="005E5A78">
        <w:rPr>
          <w:rFonts w:ascii="Arial" w:eastAsia="Times New Roman" w:hAnsi="Arial" w:cs="Arial"/>
          <w:b/>
          <w:lang w:val="en-US"/>
        </w:rPr>
        <w:t>2.</w:t>
      </w:r>
      <w:r w:rsidR="0007079F">
        <w:rPr>
          <w:rFonts w:ascii="Arial" w:eastAsia="Times New Roman" w:hAnsi="Arial" w:cs="Arial"/>
          <w:b/>
          <w:lang w:val="en-US"/>
        </w:rPr>
        <w:t>3</w:t>
      </w:r>
      <w:r w:rsidRPr="005E5A78">
        <w:rPr>
          <w:rFonts w:ascii="Arial" w:eastAsia="Times New Roman" w:hAnsi="Arial" w:cs="Arial"/>
          <w:b/>
          <w:lang w:val="en-US"/>
        </w:rPr>
        <w:tab/>
      </w:r>
      <w:r w:rsidRPr="0007079F">
        <w:rPr>
          <w:rFonts w:ascii="Arial" w:eastAsia="Times New Roman" w:hAnsi="Arial" w:cs="Arial"/>
          <w:b/>
          <w:i/>
          <w:lang w:val="en-US"/>
        </w:rPr>
        <w:t>Housing and Mental Health Agreement</w:t>
      </w:r>
    </w:p>
    <w:p w:rsidR="005E5A78" w:rsidRPr="005E5A78" w:rsidRDefault="005E5A78" w:rsidP="005E5A78">
      <w:pPr>
        <w:spacing w:after="120" w:line="240" w:lineRule="auto"/>
        <w:ind w:left="567"/>
        <w:rPr>
          <w:rFonts w:ascii="Arial" w:eastAsia="Times New Roman" w:hAnsi="Arial" w:cs="Arial"/>
          <w:i/>
          <w:lang w:val="en-US"/>
        </w:rPr>
      </w:pPr>
      <w:r w:rsidRPr="005E5A78">
        <w:rPr>
          <w:rFonts w:ascii="Arial" w:eastAsia="Times New Roman" w:hAnsi="Arial" w:cs="Arial"/>
          <w:i/>
          <w:lang w:val="en-US"/>
        </w:rPr>
        <w:t xml:space="preserve">Investigate the progress that has been made towards implementing the Housing and Mental Health Agreement. </w:t>
      </w:r>
    </w:p>
    <w:p w:rsidR="005E5A78" w:rsidRDefault="005E5A78" w:rsidP="005E5A78">
      <w:pPr>
        <w:spacing w:after="120" w:line="240" w:lineRule="auto"/>
        <w:ind w:left="567"/>
        <w:rPr>
          <w:rFonts w:ascii="Arial" w:eastAsia="Times New Roman" w:hAnsi="Arial" w:cs="Arial"/>
          <w:i/>
        </w:rPr>
      </w:pPr>
      <w:r w:rsidRPr="005E5A78">
        <w:rPr>
          <w:rFonts w:ascii="Arial" w:eastAsia="Times New Roman" w:hAnsi="Arial" w:cs="Arial"/>
          <w:i/>
          <w:lang w:val="en-US"/>
        </w:rPr>
        <w:t xml:space="preserve">Engage with Housing NSW and Health NSW in relation to the implementation of the agreement.  For example, participation in </w:t>
      </w:r>
      <w:r w:rsidRPr="005E5A78">
        <w:rPr>
          <w:rFonts w:ascii="Arial" w:eastAsia="Times New Roman" w:hAnsi="Arial" w:cs="Arial"/>
          <w:i/>
        </w:rPr>
        <w:t>Housing and Mental Health District Implementation and Coordinating Committees (DIACCs) and the development of their work</w:t>
      </w:r>
      <w:r w:rsidR="009049D2">
        <w:rPr>
          <w:rFonts w:ascii="Arial" w:eastAsia="Times New Roman" w:hAnsi="Arial" w:cs="Arial"/>
          <w:i/>
        </w:rPr>
        <w:t xml:space="preserve"> </w:t>
      </w:r>
      <w:proofErr w:type="gramStart"/>
      <w:r w:rsidRPr="005E5A78">
        <w:rPr>
          <w:rFonts w:ascii="Arial" w:eastAsia="Times New Roman" w:hAnsi="Arial" w:cs="Arial"/>
          <w:i/>
        </w:rPr>
        <w:t>plans</w:t>
      </w:r>
      <w:proofErr w:type="gramEnd"/>
      <w:r w:rsidRPr="005E5A78">
        <w:rPr>
          <w:rFonts w:ascii="Arial" w:eastAsia="Times New Roman" w:hAnsi="Arial" w:cs="Arial"/>
          <w:i/>
        </w:rPr>
        <w:t xml:space="preserve">. </w:t>
      </w:r>
    </w:p>
    <w:p w:rsidR="0007079F" w:rsidRDefault="00E11903" w:rsidP="005E5A78">
      <w:pPr>
        <w:spacing w:after="120" w:line="240" w:lineRule="auto"/>
        <w:ind w:left="567"/>
        <w:rPr>
          <w:rFonts w:ascii="Arial" w:eastAsia="Times New Roman" w:hAnsi="Arial" w:cs="Arial"/>
        </w:rPr>
      </w:pPr>
      <w:r w:rsidRPr="00E11903">
        <w:rPr>
          <w:rFonts w:ascii="Arial" w:eastAsia="Times New Roman" w:hAnsi="Arial" w:cs="Arial"/>
        </w:rPr>
        <w:t xml:space="preserve">Housing NSW and NSW Health </w:t>
      </w:r>
      <w:r>
        <w:rPr>
          <w:rFonts w:ascii="Arial" w:eastAsia="Times New Roman" w:hAnsi="Arial" w:cs="Arial"/>
        </w:rPr>
        <w:t xml:space="preserve">have </w:t>
      </w:r>
      <w:r w:rsidRPr="00E11903">
        <w:rPr>
          <w:rFonts w:ascii="Arial" w:eastAsia="Times New Roman" w:hAnsi="Arial" w:cs="Arial"/>
        </w:rPr>
        <w:t xml:space="preserve">approached each of the 15 district committees and asked them to review how they think they have been performing against the work plan. </w:t>
      </w:r>
      <w:r>
        <w:rPr>
          <w:rFonts w:ascii="Arial" w:eastAsia="Times New Roman" w:hAnsi="Arial" w:cs="Arial"/>
        </w:rPr>
        <w:t>T</w:t>
      </w:r>
      <w:r w:rsidRPr="00E11903">
        <w:rPr>
          <w:rFonts w:ascii="Arial" w:eastAsia="Times New Roman" w:hAnsi="Arial" w:cs="Arial"/>
        </w:rPr>
        <w:t xml:space="preserve">he Senior Executive Committee </w:t>
      </w:r>
      <w:r>
        <w:rPr>
          <w:rFonts w:ascii="Arial" w:eastAsia="Times New Roman" w:hAnsi="Arial" w:cs="Arial"/>
        </w:rPr>
        <w:t xml:space="preserve">is in the process of </w:t>
      </w:r>
      <w:r w:rsidRPr="00E11903">
        <w:rPr>
          <w:rFonts w:ascii="Arial" w:eastAsia="Times New Roman" w:hAnsi="Arial" w:cs="Arial"/>
        </w:rPr>
        <w:t>discuss</w:t>
      </w:r>
      <w:r>
        <w:rPr>
          <w:rFonts w:ascii="Arial" w:eastAsia="Times New Roman" w:hAnsi="Arial" w:cs="Arial"/>
        </w:rPr>
        <w:t>ing</w:t>
      </w:r>
      <w:r w:rsidRPr="00E11903">
        <w:rPr>
          <w:rFonts w:ascii="Arial" w:eastAsia="Times New Roman" w:hAnsi="Arial" w:cs="Arial"/>
        </w:rPr>
        <w:t xml:space="preserve"> the review findings</w:t>
      </w:r>
      <w:r>
        <w:rPr>
          <w:rFonts w:ascii="Arial" w:eastAsia="Times New Roman" w:hAnsi="Arial" w:cs="Arial"/>
        </w:rPr>
        <w:t>,</w:t>
      </w:r>
      <w:r w:rsidRPr="00E11903">
        <w:rPr>
          <w:rFonts w:ascii="Arial" w:eastAsia="Times New Roman" w:hAnsi="Arial" w:cs="Arial"/>
        </w:rPr>
        <w:t xml:space="preserve"> which give a brief overview of the problems already raised. The information will be available once the Senior Executive Committees of Housing NSW and Health NSW have met and made formal recommendations. </w:t>
      </w:r>
    </w:p>
    <w:p w:rsidR="00E11903" w:rsidRPr="005E5A78" w:rsidRDefault="00E11903" w:rsidP="005E5A78">
      <w:pPr>
        <w:spacing w:after="120" w:line="240" w:lineRule="auto"/>
        <w:ind w:left="567"/>
        <w:rPr>
          <w:rFonts w:ascii="Arial" w:eastAsia="Times New Roman" w:hAnsi="Arial" w:cs="Arial"/>
        </w:rPr>
      </w:pPr>
    </w:p>
    <w:p w:rsidR="005E5A78" w:rsidRPr="005E5A78" w:rsidRDefault="005E5A78" w:rsidP="005E5A78">
      <w:pPr>
        <w:tabs>
          <w:tab w:val="left" w:pos="567"/>
        </w:tabs>
        <w:spacing w:after="120" w:line="240" w:lineRule="auto"/>
        <w:rPr>
          <w:rFonts w:ascii="Arial" w:eastAsia="Times New Roman" w:hAnsi="Arial" w:cs="Arial"/>
          <w:lang w:val="en-US"/>
        </w:rPr>
      </w:pPr>
      <w:r w:rsidRPr="005E5A78">
        <w:rPr>
          <w:rFonts w:ascii="Arial" w:eastAsia="Times New Roman" w:hAnsi="Arial" w:cs="Arial"/>
          <w:b/>
          <w:lang w:val="en-US"/>
        </w:rPr>
        <w:t>2.</w:t>
      </w:r>
      <w:r w:rsidR="0007079F">
        <w:rPr>
          <w:rFonts w:ascii="Arial" w:eastAsia="Times New Roman" w:hAnsi="Arial" w:cs="Arial"/>
          <w:b/>
          <w:lang w:val="en-US"/>
        </w:rPr>
        <w:t>4</w:t>
      </w:r>
      <w:r w:rsidRPr="005E5A78">
        <w:rPr>
          <w:rFonts w:ascii="Arial" w:eastAsia="Times New Roman" w:hAnsi="Arial" w:cs="Arial"/>
          <w:b/>
          <w:lang w:val="en-US"/>
        </w:rPr>
        <w:tab/>
        <w:t>Collect data about tenant experiences and map express</w:t>
      </w:r>
      <w:r w:rsidR="00437111">
        <w:rPr>
          <w:rFonts w:ascii="Arial" w:eastAsia="Times New Roman" w:hAnsi="Arial" w:cs="Arial"/>
          <w:b/>
          <w:lang w:val="en-US"/>
        </w:rPr>
        <w:t>ed</w:t>
      </w:r>
      <w:bookmarkStart w:id="0" w:name="_GoBack"/>
      <w:bookmarkEnd w:id="0"/>
      <w:r w:rsidRPr="005E5A78">
        <w:rPr>
          <w:rFonts w:ascii="Arial" w:eastAsia="Times New Roman" w:hAnsi="Arial" w:cs="Arial"/>
          <w:b/>
          <w:lang w:val="en-US"/>
        </w:rPr>
        <w:t xml:space="preserve"> legal need</w:t>
      </w:r>
      <w:r w:rsidRPr="005E5A78">
        <w:rPr>
          <w:rFonts w:ascii="Arial" w:eastAsia="Times New Roman" w:hAnsi="Arial" w:cs="Arial"/>
          <w:lang w:val="en-US"/>
        </w:rPr>
        <w:t xml:space="preserve">  </w:t>
      </w:r>
    </w:p>
    <w:p w:rsidR="005E5A78" w:rsidRPr="005E5A78" w:rsidRDefault="00FA25A1" w:rsidP="00B3632D">
      <w:pPr>
        <w:spacing w:after="120" w:line="240" w:lineRule="auto"/>
        <w:ind w:left="567"/>
        <w:rPr>
          <w:rFonts w:ascii="Arial" w:eastAsia="Times New Roman" w:hAnsi="Arial" w:cs="Arial"/>
          <w:i/>
          <w:lang w:val="en-US"/>
        </w:rPr>
      </w:pPr>
      <w:r>
        <w:rPr>
          <w:rFonts w:ascii="Arial" w:eastAsia="Times New Roman" w:hAnsi="Arial" w:cs="Arial"/>
          <w:i/>
          <w:lang w:val="en-US"/>
        </w:rPr>
        <w:t>Develop a data</w:t>
      </w:r>
      <w:r w:rsidR="005E5A78" w:rsidRPr="005E5A78">
        <w:rPr>
          <w:rFonts w:ascii="Arial" w:eastAsia="Times New Roman" w:hAnsi="Arial" w:cs="Arial"/>
          <w:i/>
          <w:lang w:val="en-US"/>
        </w:rPr>
        <w:t>base of case studies that illustrate:</w:t>
      </w:r>
    </w:p>
    <w:p w:rsidR="005E5A78" w:rsidRPr="005E5A78" w:rsidRDefault="005E5A78" w:rsidP="00B3632D">
      <w:pPr>
        <w:numPr>
          <w:ilvl w:val="0"/>
          <w:numId w:val="4"/>
        </w:numPr>
        <w:spacing w:after="120" w:line="240" w:lineRule="auto"/>
        <w:ind w:left="1134" w:hanging="567"/>
        <w:rPr>
          <w:rFonts w:ascii="Arial" w:eastAsia="Times New Roman" w:hAnsi="Arial" w:cs="Arial"/>
          <w:i/>
          <w:lang w:val="en-US"/>
        </w:rPr>
      </w:pPr>
      <w:r w:rsidRPr="005E5A78">
        <w:rPr>
          <w:rFonts w:ascii="Arial" w:eastAsia="Times New Roman" w:hAnsi="Arial" w:cs="Arial"/>
          <w:i/>
          <w:lang w:val="en-US"/>
        </w:rPr>
        <w:t>the difficulties / barriers / challenges to sustaining a tenancy (including case studies involving CTTT decisions that impact adversely on the continuation of social housing tenancies</w:t>
      </w:r>
      <w:r w:rsidRPr="005E5A78">
        <w:rPr>
          <w:rFonts w:ascii="Times New Roman" w:eastAsia="Times New Roman" w:hAnsi="Times New Roman" w:cs="Times New Roman"/>
          <w:i/>
          <w:sz w:val="24"/>
          <w:szCs w:val="24"/>
          <w:lang w:val="en-US"/>
        </w:rPr>
        <w:t>)</w:t>
      </w:r>
      <w:r w:rsidRPr="005E5A78">
        <w:rPr>
          <w:rFonts w:ascii="Arial" w:eastAsia="Times New Roman" w:hAnsi="Arial" w:cs="Arial"/>
          <w:i/>
          <w:lang w:val="en-US"/>
        </w:rPr>
        <w:t>; and</w:t>
      </w:r>
    </w:p>
    <w:p w:rsidR="005E5A78" w:rsidRPr="00B3632D" w:rsidRDefault="005E5A78" w:rsidP="00B3632D">
      <w:pPr>
        <w:numPr>
          <w:ilvl w:val="0"/>
          <w:numId w:val="4"/>
        </w:numPr>
        <w:spacing w:after="120" w:line="240" w:lineRule="auto"/>
        <w:ind w:left="1134" w:hanging="567"/>
        <w:rPr>
          <w:rFonts w:ascii="Arial" w:eastAsia="Times New Roman" w:hAnsi="Arial" w:cs="Arial"/>
          <w:i/>
          <w:lang w:val="en-US"/>
        </w:rPr>
      </w:pPr>
      <w:proofErr w:type="gramStart"/>
      <w:r w:rsidRPr="005E5A78">
        <w:rPr>
          <w:rFonts w:ascii="Arial" w:eastAsia="Times New Roman" w:hAnsi="Arial" w:cs="Arial"/>
          <w:i/>
          <w:lang w:val="en-US"/>
        </w:rPr>
        <w:t>successful</w:t>
      </w:r>
      <w:proofErr w:type="gramEnd"/>
      <w:r w:rsidRPr="005E5A78">
        <w:rPr>
          <w:rFonts w:ascii="Arial" w:eastAsia="Times New Roman" w:hAnsi="Arial" w:cs="Arial"/>
          <w:i/>
          <w:lang w:val="en-US"/>
        </w:rPr>
        <w:t xml:space="preserve"> maintenance of a tenancy,</w:t>
      </w:r>
      <w:r w:rsidR="009049D2">
        <w:rPr>
          <w:rFonts w:ascii="Arial" w:eastAsia="Times New Roman" w:hAnsi="Arial" w:cs="Arial"/>
          <w:i/>
          <w:lang w:val="en-US"/>
        </w:rPr>
        <w:t xml:space="preserve"> </w:t>
      </w:r>
      <w:r w:rsidRPr="00B3632D">
        <w:rPr>
          <w:rFonts w:ascii="Arial" w:eastAsia="Times New Roman" w:hAnsi="Arial" w:cs="Arial"/>
          <w:i/>
          <w:lang w:val="en-US"/>
        </w:rPr>
        <w:t>for vulnerable people at risk of homelessness living in social housing (and renting in the private rental market, if it is reasonably practical to collect this data).</w:t>
      </w:r>
    </w:p>
    <w:p w:rsidR="007B773D" w:rsidRDefault="005E5A78" w:rsidP="00B3632D">
      <w:pPr>
        <w:spacing w:before="120" w:after="120" w:line="240" w:lineRule="auto"/>
        <w:ind w:left="567"/>
        <w:rPr>
          <w:rFonts w:ascii="Arial" w:eastAsia="Times New Roman" w:hAnsi="Arial" w:cs="Arial"/>
          <w:lang w:eastAsia="en-AU"/>
        </w:rPr>
      </w:pPr>
      <w:r>
        <w:rPr>
          <w:rFonts w:ascii="Arial" w:eastAsia="Times New Roman" w:hAnsi="Arial" w:cs="Arial"/>
          <w:lang w:eastAsia="en-AU"/>
        </w:rPr>
        <w:t xml:space="preserve">The working group </w:t>
      </w:r>
      <w:r w:rsidR="00FA25A1">
        <w:rPr>
          <w:rFonts w:ascii="Arial" w:eastAsia="Times New Roman" w:hAnsi="Arial" w:cs="Arial"/>
          <w:lang w:eastAsia="en-AU"/>
        </w:rPr>
        <w:t xml:space="preserve">members have begun </w:t>
      </w:r>
      <w:r w:rsidR="00B3632D">
        <w:rPr>
          <w:rFonts w:ascii="Arial" w:eastAsia="Times New Roman" w:hAnsi="Arial" w:cs="Arial"/>
          <w:lang w:eastAsia="en-AU"/>
        </w:rPr>
        <w:t>collect</w:t>
      </w:r>
      <w:r w:rsidR="00FA25A1">
        <w:rPr>
          <w:rFonts w:ascii="Arial" w:eastAsia="Times New Roman" w:hAnsi="Arial" w:cs="Arial"/>
          <w:lang w:eastAsia="en-AU"/>
        </w:rPr>
        <w:t>ion and compilation of</w:t>
      </w:r>
      <w:r w:rsidR="00B3632D">
        <w:rPr>
          <w:rFonts w:ascii="Arial" w:eastAsia="Times New Roman" w:hAnsi="Arial" w:cs="Arial"/>
          <w:lang w:eastAsia="en-AU"/>
        </w:rPr>
        <w:t xml:space="preserve"> case studies </w:t>
      </w:r>
      <w:r>
        <w:rPr>
          <w:rFonts w:ascii="Arial" w:eastAsia="Times New Roman" w:hAnsi="Arial" w:cs="Arial"/>
          <w:lang w:eastAsia="en-AU"/>
        </w:rPr>
        <w:t>relating to:</w:t>
      </w:r>
    </w:p>
    <w:p w:rsidR="005E5A78" w:rsidRDefault="00F91C35" w:rsidP="00B3632D">
      <w:pPr>
        <w:pStyle w:val="ListParagraph"/>
        <w:numPr>
          <w:ilvl w:val="0"/>
          <w:numId w:val="6"/>
        </w:numPr>
        <w:spacing w:before="120" w:after="120" w:line="240" w:lineRule="auto"/>
        <w:ind w:left="1134" w:hanging="567"/>
        <w:contextualSpacing w:val="0"/>
        <w:rPr>
          <w:rFonts w:ascii="Arial" w:eastAsia="Times New Roman" w:hAnsi="Arial" w:cs="Arial"/>
          <w:lang w:eastAsia="en-AU"/>
        </w:rPr>
      </w:pPr>
      <w:r>
        <w:rPr>
          <w:rFonts w:ascii="Arial" w:eastAsia="Times New Roman" w:hAnsi="Arial" w:cs="Arial"/>
          <w:lang w:eastAsia="en-AU"/>
        </w:rPr>
        <w:t>r</w:t>
      </w:r>
      <w:r w:rsidR="00FA25A1">
        <w:rPr>
          <w:rFonts w:ascii="Arial" w:eastAsia="Times New Roman" w:hAnsi="Arial" w:cs="Arial"/>
          <w:lang w:eastAsia="en-AU"/>
        </w:rPr>
        <w:t>epairs;</w:t>
      </w:r>
    </w:p>
    <w:p w:rsidR="00D77BC3" w:rsidRDefault="00F91C35" w:rsidP="00B3632D">
      <w:pPr>
        <w:pStyle w:val="ListParagraph"/>
        <w:numPr>
          <w:ilvl w:val="0"/>
          <w:numId w:val="6"/>
        </w:numPr>
        <w:spacing w:before="120" w:after="120" w:line="240" w:lineRule="auto"/>
        <w:ind w:left="1134" w:hanging="567"/>
        <w:contextualSpacing w:val="0"/>
        <w:rPr>
          <w:rFonts w:ascii="Arial" w:eastAsia="Times New Roman" w:hAnsi="Arial" w:cs="Arial"/>
          <w:lang w:eastAsia="en-AU"/>
        </w:rPr>
      </w:pPr>
      <w:r>
        <w:rPr>
          <w:rFonts w:ascii="Arial" w:eastAsia="Times New Roman" w:hAnsi="Arial" w:cs="Arial"/>
          <w:lang w:eastAsia="en-AU"/>
        </w:rPr>
        <w:t>b</w:t>
      </w:r>
      <w:r w:rsidR="00D77BC3">
        <w:rPr>
          <w:rFonts w:ascii="Arial" w:eastAsia="Times New Roman" w:hAnsi="Arial" w:cs="Arial"/>
          <w:lang w:eastAsia="en-AU"/>
        </w:rPr>
        <w:t>ack dating rent subsidies</w:t>
      </w:r>
      <w:r>
        <w:rPr>
          <w:rFonts w:ascii="Arial" w:eastAsia="Times New Roman" w:hAnsi="Arial" w:cs="Arial"/>
          <w:lang w:eastAsia="en-AU"/>
        </w:rPr>
        <w:t>; and</w:t>
      </w:r>
    </w:p>
    <w:p w:rsidR="00F91C35" w:rsidRDefault="00F91C35" w:rsidP="00F91C35">
      <w:pPr>
        <w:pStyle w:val="ListParagraph"/>
        <w:numPr>
          <w:ilvl w:val="0"/>
          <w:numId w:val="6"/>
        </w:numPr>
        <w:spacing w:before="120" w:after="120" w:line="240" w:lineRule="auto"/>
        <w:ind w:left="1134" w:hanging="567"/>
        <w:contextualSpacing w:val="0"/>
        <w:rPr>
          <w:rFonts w:ascii="Arial" w:eastAsia="Times New Roman" w:hAnsi="Arial" w:cs="Arial"/>
          <w:lang w:eastAsia="en-AU"/>
        </w:rPr>
      </w:pPr>
      <w:proofErr w:type="gramStart"/>
      <w:r>
        <w:rPr>
          <w:rFonts w:ascii="Arial" w:eastAsia="Times New Roman" w:hAnsi="Arial" w:cs="Arial"/>
          <w:lang w:eastAsia="en-AU"/>
        </w:rPr>
        <w:t>termination</w:t>
      </w:r>
      <w:proofErr w:type="gramEnd"/>
      <w:r>
        <w:rPr>
          <w:rFonts w:ascii="Arial" w:eastAsia="Times New Roman" w:hAnsi="Arial" w:cs="Arial"/>
          <w:lang w:eastAsia="en-AU"/>
        </w:rPr>
        <w:t xml:space="preserve"> of tenancies where the procedures and processes for terminating tenancies as mandated by Housing NSW, have not been followed</w:t>
      </w:r>
      <w:r w:rsidR="00D77BC3">
        <w:rPr>
          <w:rFonts w:ascii="Arial" w:eastAsia="Times New Roman" w:hAnsi="Arial" w:cs="Arial"/>
          <w:lang w:eastAsia="en-AU"/>
        </w:rPr>
        <w:t>.</w:t>
      </w:r>
    </w:p>
    <w:p w:rsidR="00FA25A1" w:rsidRDefault="00FA25A1" w:rsidP="00B3632D">
      <w:pPr>
        <w:tabs>
          <w:tab w:val="left" w:pos="567"/>
        </w:tabs>
        <w:spacing w:before="120" w:after="120" w:line="240" w:lineRule="auto"/>
        <w:ind w:left="567" w:hanging="567"/>
        <w:rPr>
          <w:rFonts w:ascii="Arial" w:eastAsia="Times New Roman" w:hAnsi="Arial" w:cs="Arial"/>
          <w:lang w:eastAsia="en-AU"/>
        </w:rPr>
      </w:pPr>
    </w:p>
    <w:p w:rsidR="00B3632D" w:rsidRPr="00B3632D" w:rsidRDefault="00B3632D" w:rsidP="00B3632D">
      <w:pPr>
        <w:tabs>
          <w:tab w:val="left" w:pos="567"/>
        </w:tabs>
        <w:spacing w:before="120" w:after="120" w:line="240" w:lineRule="auto"/>
        <w:ind w:left="567" w:hanging="567"/>
        <w:rPr>
          <w:rFonts w:ascii="Arial" w:eastAsia="Times New Roman" w:hAnsi="Arial" w:cs="Arial"/>
          <w:b/>
          <w:lang w:eastAsia="en-AU"/>
        </w:rPr>
      </w:pPr>
      <w:r w:rsidRPr="00B3632D">
        <w:rPr>
          <w:rFonts w:ascii="Arial" w:eastAsia="Times New Roman" w:hAnsi="Arial" w:cs="Arial"/>
          <w:b/>
          <w:lang w:eastAsia="en-AU"/>
        </w:rPr>
        <w:t>3.</w:t>
      </w:r>
      <w:r w:rsidRPr="00B3632D">
        <w:rPr>
          <w:rFonts w:ascii="Arial" w:eastAsia="Times New Roman" w:hAnsi="Arial" w:cs="Arial"/>
          <w:b/>
          <w:lang w:eastAsia="en-AU"/>
        </w:rPr>
        <w:tab/>
        <w:t>Next meeting</w:t>
      </w:r>
    </w:p>
    <w:p w:rsidR="00B3632D" w:rsidRDefault="00B3632D" w:rsidP="00B3632D">
      <w:pPr>
        <w:tabs>
          <w:tab w:val="left" w:pos="567"/>
        </w:tabs>
        <w:spacing w:before="120" w:after="120" w:line="240" w:lineRule="auto"/>
        <w:rPr>
          <w:rFonts w:ascii="Arial" w:eastAsia="Times New Roman" w:hAnsi="Arial" w:cs="Arial"/>
          <w:lang w:eastAsia="en-AU"/>
        </w:rPr>
      </w:pPr>
      <w:r>
        <w:rPr>
          <w:rFonts w:ascii="Arial" w:eastAsia="Times New Roman" w:hAnsi="Arial" w:cs="Arial"/>
          <w:lang w:eastAsia="en-AU"/>
        </w:rPr>
        <w:tab/>
        <w:t>The working grou</w:t>
      </w:r>
      <w:r w:rsidR="004C5045">
        <w:rPr>
          <w:rFonts w:ascii="Arial" w:eastAsia="Times New Roman" w:hAnsi="Arial" w:cs="Arial"/>
          <w:lang w:eastAsia="en-AU"/>
        </w:rPr>
        <w:t xml:space="preserve">p is scheduled to meet again in </w:t>
      </w:r>
      <w:r w:rsidR="00FA25A1">
        <w:rPr>
          <w:rFonts w:ascii="Arial" w:eastAsia="Times New Roman" w:hAnsi="Arial" w:cs="Arial"/>
          <w:lang w:eastAsia="en-AU"/>
        </w:rPr>
        <w:t>February 2014</w:t>
      </w:r>
      <w:r>
        <w:rPr>
          <w:rFonts w:ascii="Arial" w:eastAsia="Times New Roman" w:hAnsi="Arial" w:cs="Arial"/>
          <w:lang w:eastAsia="en-AU"/>
        </w:rPr>
        <w:t>.</w:t>
      </w:r>
    </w:p>
    <w:p w:rsidR="00B3632D" w:rsidRDefault="00B3632D" w:rsidP="00B3632D">
      <w:pPr>
        <w:tabs>
          <w:tab w:val="left" w:pos="567"/>
        </w:tabs>
        <w:spacing w:before="120" w:after="120" w:line="240" w:lineRule="auto"/>
        <w:rPr>
          <w:rFonts w:ascii="Arial" w:eastAsia="Times New Roman" w:hAnsi="Arial" w:cs="Arial"/>
          <w:lang w:eastAsia="en-AU"/>
        </w:rPr>
      </w:pPr>
    </w:p>
    <w:p w:rsidR="00B3632D" w:rsidRDefault="00B3632D" w:rsidP="00B3632D">
      <w:pPr>
        <w:tabs>
          <w:tab w:val="left" w:pos="567"/>
        </w:tabs>
        <w:spacing w:after="0" w:line="240" w:lineRule="auto"/>
        <w:rPr>
          <w:rFonts w:ascii="Arial" w:eastAsia="Times New Roman" w:hAnsi="Arial" w:cs="Arial"/>
          <w:lang w:eastAsia="en-AU"/>
        </w:rPr>
      </w:pPr>
      <w:r>
        <w:rPr>
          <w:rFonts w:ascii="Arial" w:eastAsia="Times New Roman" w:hAnsi="Arial" w:cs="Arial"/>
          <w:lang w:eastAsia="en-AU"/>
        </w:rPr>
        <w:t>Ed Santow</w:t>
      </w:r>
    </w:p>
    <w:p w:rsidR="00B3632D" w:rsidRPr="00B3632D" w:rsidRDefault="00B3632D" w:rsidP="00B3632D">
      <w:pPr>
        <w:tabs>
          <w:tab w:val="left" w:pos="567"/>
        </w:tabs>
        <w:spacing w:after="0" w:line="240" w:lineRule="auto"/>
        <w:rPr>
          <w:rFonts w:ascii="Arial" w:eastAsia="Times New Roman" w:hAnsi="Arial" w:cs="Arial"/>
          <w:b/>
          <w:lang w:eastAsia="en-AU"/>
        </w:rPr>
      </w:pPr>
      <w:r w:rsidRPr="00B3632D">
        <w:rPr>
          <w:rFonts w:ascii="Arial" w:eastAsia="Times New Roman" w:hAnsi="Arial" w:cs="Arial"/>
          <w:b/>
          <w:lang w:eastAsia="en-AU"/>
        </w:rPr>
        <w:t>Chair, NLAF Housing Law Working Group</w:t>
      </w:r>
    </w:p>
    <w:p w:rsidR="00B3632D" w:rsidRDefault="00B3632D" w:rsidP="00B3632D">
      <w:pPr>
        <w:tabs>
          <w:tab w:val="left" w:pos="567"/>
        </w:tabs>
        <w:spacing w:after="0" w:line="240" w:lineRule="auto"/>
        <w:rPr>
          <w:rFonts w:ascii="Arial" w:eastAsia="Times New Roman" w:hAnsi="Arial" w:cs="Arial"/>
          <w:b/>
          <w:lang w:eastAsia="en-AU"/>
        </w:rPr>
      </w:pPr>
      <w:r w:rsidRPr="00B3632D">
        <w:rPr>
          <w:rFonts w:ascii="Arial" w:eastAsia="Times New Roman" w:hAnsi="Arial" w:cs="Arial"/>
          <w:b/>
          <w:lang w:eastAsia="en-AU"/>
        </w:rPr>
        <w:t>CEO PIAC</w:t>
      </w:r>
    </w:p>
    <w:p w:rsidR="00B3632D" w:rsidRPr="00B3632D" w:rsidRDefault="00FA25A1" w:rsidP="00B3632D">
      <w:pPr>
        <w:tabs>
          <w:tab w:val="left" w:pos="567"/>
        </w:tabs>
        <w:spacing w:before="120" w:after="120" w:line="240" w:lineRule="auto"/>
        <w:rPr>
          <w:rFonts w:ascii="Arial" w:eastAsia="Times New Roman" w:hAnsi="Arial" w:cs="Arial"/>
          <w:b/>
          <w:lang w:eastAsia="en-AU"/>
        </w:rPr>
      </w:pPr>
      <w:r>
        <w:rPr>
          <w:rFonts w:ascii="Arial" w:eastAsia="Times New Roman" w:hAnsi="Arial" w:cs="Arial"/>
          <w:b/>
          <w:lang w:eastAsia="en-AU"/>
        </w:rPr>
        <w:t>November</w:t>
      </w:r>
      <w:r w:rsidR="00B3632D">
        <w:rPr>
          <w:rFonts w:ascii="Arial" w:eastAsia="Times New Roman" w:hAnsi="Arial" w:cs="Arial"/>
          <w:b/>
          <w:lang w:eastAsia="en-AU"/>
        </w:rPr>
        <w:t xml:space="preserve"> 2013</w:t>
      </w:r>
    </w:p>
    <w:sectPr w:rsidR="00B3632D" w:rsidRPr="00B3632D" w:rsidSect="00F91C35">
      <w:pgSz w:w="11906" w:h="16838"/>
      <w:pgMar w:top="1276" w:right="1133"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E39"/>
    <w:multiLevelType w:val="hybridMultilevel"/>
    <w:tmpl w:val="53265CD4"/>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cs="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cs="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cs="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1">
    <w:nsid w:val="1E7C2948"/>
    <w:multiLevelType w:val="hybridMultilevel"/>
    <w:tmpl w:val="F29287E8"/>
    <w:lvl w:ilvl="0" w:tplc="AC9C7464">
      <w:start w:val="1"/>
      <w:numFmt w:val="bullet"/>
      <w:lvlText w:val=""/>
      <w:lvlJc w:val="left"/>
      <w:pPr>
        <w:tabs>
          <w:tab w:val="num" w:pos="5760"/>
        </w:tabs>
        <w:ind w:left="5760" w:hanging="360"/>
      </w:pPr>
      <w:rPr>
        <w:rFonts w:ascii="Symbol" w:hAnsi="Symbol" w:hint="default"/>
        <w:color w:val="auto"/>
        <w:sz w:val="24"/>
        <w:szCs w:val="24"/>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2">
    <w:nsid w:val="247711F8"/>
    <w:multiLevelType w:val="hybridMultilevel"/>
    <w:tmpl w:val="067C4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A096197"/>
    <w:multiLevelType w:val="hybridMultilevel"/>
    <w:tmpl w:val="02CCC178"/>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CBF2479"/>
    <w:multiLevelType w:val="hybridMultilevel"/>
    <w:tmpl w:val="1B5CDCA6"/>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B77680A"/>
    <w:multiLevelType w:val="hybridMultilevel"/>
    <w:tmpl w:val="BE5EC076"/>
    <w:lvl w:ilvl="0" w:tplc="E8C46162">
      <w:start w:val="1"/>
      <w:numFmt w:val="decimal"/>
      <w:lvlText w:val="%1."/>
      <w:lvlJc w:val="left"/>
      <w:pPr>
        <w:ind w:left="720" w:hanging="360"/>
      </w:pPr>
      <w:rPr>
        <w:rFonts w:ascii="Arial" w:eastAsiaTheme="minorHAnsi"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12133A8"/>
    <w:multiLevelType w:val="multilevel"/>
    <w:tmpl w:val="F3FA40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FA45119"/>
    <w:multiLevelType w:val="hybridMultilevel"/>
    <w:tmpl w:val="DC9834B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63341B18"/>
    <w:multiLevelType w:val="hybridMultilevel"/>
    <w:tmpl w:val="B45A7B5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2"/>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73D"/>
    <w:rsid w:val="0007079F"/>
    <w:rsid w:val="00072A9D"/>
    <w:rsid w:val="000F011E"/>
    <w:rsid w:val="001C2DB4"/>
    <w:rsid w:val="00257C88"/>
    <w:rsid w:val="003C0BCF"/>
    <w:rsid w:val="003D5ACE"/>
    <w:rsid w:val="00437111"/>
    <w:rsid w:val="004C5045"/>
    <w:rsid w:val="005E5A78"/>
    <w:rsid w:val="006D7EAA"/>
    <w:rsid w:val="007B773D"/>
    <w:rsid w:val="00861794"/>
    <w:rsid w:val="008626E4"/>
    <w:rsid w:val="008E0F35"/>
    <w:rsid w:val="009049D2"/>
    <w:rsid w:val="00A50C9C"/>
    <w:rsid w:val="00B3632D"/>
    <w:rsid w:val="00B87E06"/>
    <w:rsid w:val="00CC7A22"/>
    <w:rsid w:val="00CE6AF8"/>
    <w:rsid w:val="00D176D8"/>
    <w:rsid w:val="00D77BC3"/>
    <w:rsid w:val="00E11903"/>
    <w:rsid w:val="00F5789A"/>
    <w:rsid w:val="00F62026"/>
    <w:rsid w:val="00F91C35"/>
    <w:rsid w:val="00FA25A1"/>
    <w:rsid w:val="00FF7D7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7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Levitan</dc:creator>
  <cp:lastModifiedBy>Jane Kenny</cp:lastModifiedBy>
  <cp:revision>5</cp:revision>
  <dcterms:created xsi:type="dcterms:W3CDTF">2013-11-20T09:29:00Z</dcterms:created>
  <dcterms:modified xsi:type="dcterms:W3CDTF">2013-11-25T02:55:00Z</dcterms:modified>
</cp:coreProperties>
</file>