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3D" w:rsidRPr="007B773D" w:rsidRDefault="007B773D" w:rsidP="007B773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D5ACE" w:rsidRPr="007B773D" w:rsidRDefault="007B773D" w:rsidP="007B773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</w:rPr>
      </w:pPr>
      <w:r w:rsidRPr="007B773D">
        <w:rPr>
          <w:rFonts w:ascii="Arial" w:hAnsi="Arial" w:cs="Arial"/>
          <w:b/>
        </w:rPr>
        <w:t>NLAF Housing Law Working Group</w:t>
      </w:r>
    </w:p>
    <w:p w:rsidR="007B773D" w:rsidRPr="007B773D" w:rsidRDefault="007B773D" w:rsidP="007B773D">
      <w:pPr>
        <w:shd w:val="clear" w:color="auto" w:fill="D9D9D9" w:themeFill="background1" w:themeFillShade="D9"/>
        <w:spacing w:before="120" w:after="0" w:line="240" w:lineRule="auto"/>
        <w:rPr>
          <w:rFonts w:ascii="Arial" w:hAnsi="Arial" w:cs="Arial"/>
          <w:b/>
        </w:rPr>
      </w:pPr>
      <w:r w:rsidRPr="007B773D">
        <w:rPr>
          <w:rFonts w:ascii="Arial" w:hAnsi="Arial" w:cs="Arial"/>
          <w:b/>
        </w:rPr>
        <w:t xml:space="preserve">Report to NLAF – </w:t>
      </w:r>
      <w:r w:rsidR="00F91C35">
        <w:rPr>
          <w:rFonts w:ascii="Arial" w:hAnsi="Arial" w:cs="Arial"/>
          <w:b/>
        </w:rPr>
        <w:t>March</w:t>
      </w:r>
      <w:r w:rsidRPr="007B773D">
        <w:rPr>
          <w:rFonts w:ascii="Arial" w:hAnsi="Arial" w:cs="Arial"/>
          <w:b/>
        </w:rPr>
        <w:t xml:space="preserve"> 2013</w:t>
      </w:r>
    </w:p>
    <w:p w:rsidR="007B773D" w:rsidRPr="007B773D" w:rsidRDefault="007B773D" w:rsidP="007B773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</w:rPr>
      </w:pPr>
    </w:p>
    <w:p w:rsidR="007B773D" w:rsidRPr="007B773D" w:rsidRDefault="007B773D" w:rsidP="007B773D">
      <w:pPr>
        <w:spacing w:after="0" w:line="240" w:lineRule="auto"/>
        <w:rPr>
          <w:rFonts w:ascii="Arial" w:hAnsi="Arial" w:cs="Arial"/>
        </w:rPr>
      </w:pPr>
    </w:p>
    <w:p w:rsidR="007B773D" w:rsidRPr="007B773D" w:rsidRDefault="007B773D" w:rsidP="007B773D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7B773D">
        <w:rPr>
          <w:rFonts w:ascii="Arial" w:hAnsi="Arial" w:cs="Arial"/>
          <w:b/>
        </w:rPr>
        <w:t xml:space="preserve">Meeting of the </w:t>
      </w:r>
      <w:r w:rsidR="00F62026">
        <w:rPr>
          <w:rFonts w:ascii="Arial" w:hAnsi="Arial" w:cs="Arial"/>
          <w:b/>
        </w:rPr>
        <w:t>h</w:t>
      </w:r>
      <w:r w:rsidRPr="007B773D">
        <w:rPr>
          <w:rFonts w:ascii="Arial" w:hAnsi="Arial" w:cs="Arial"/>
          <w:b/>
        </w:rPr>
        <w:t xml:space="preserve">ousing </w:t>
      </w:r>
      <w:r w:rsidR="00F62026">
        <w:rPr>
          <w:rFonts w:ascii="Arial" w:hAnsi="Arial" w:cs="Arial"/>
          <w:b/>
        </w:rPr>
        <w:t>l</w:t>
      </w:r>
      <w:r w:rsidRPr="007B773D">
        <w:rPr>
          <w:rFonts w:ascii="Arial" w:hAnsi="Arial" w:cs="Arial"/>
          <w:b/>
        </w:rPr>
        <w:t xml:space="preserve">aw </w:t>
      </w:r>
      <w:r w:rsidR="00F62026">
        <w:rPr>
          <w:rFonts w:ascii="Arial" w:hAnsi="Arial" w:cs="Arial"/>
          <w:b/>
        </w:rPr>
        <w:t>w</w:t>
      </w:r>
      <w:r w:rsidRPr="007B773D">
        <w:rPr>
          <w:rFonts w:ascii="Arial" w:hAnsi="Arial" w:cs="Arial"/>
          <w:b/>
        </w:rPr>
        <w:t xml:space="preserve">orking </w:t>
      </w:r>
      <w:r w:rsidR="00F62026">
        <w:rPr>
          <w:rFonts w:ascii="Arial" w:hAnsi="Arial" w:cs="Arial"/>
          <w:b/>
        </w:rPr>
        <w:t>g</w:t>
      </w:r>
      <w:r w:rsidRPr="007B773D">
        <w:rPr>
          <w:rFonts w:ascii="Arial" w:hAnsi="Arial" w:cs="Arial"/>
          <w:b/>
        </w:rPr>
        <w:t xml:space="preserve">roup </w:t>
      </w:r>
    </w:p>
    <w:p w:rsidR="007B773D" w:rsidRPr="007B773D" w:rsidRDefault="007B773D" w:rsidP="007B773D">
      <w:pPr>
        <w:spacing w:before="120" w:after="120" w:line="240" w:lineRule="auto"/>
        <w:ind w:left="540"/>
        <w:rPr>
          <w:rFonts w:ascii="Arial" w:eastAsia="Times New Roman" w:hAnsi="Arial" w:cs="Arial"/>
          <w:lang w:eastAsia="en-AU"/>
        </w:rPr>
      </w:pPr>
      <w:r w:rsidRPr="007B773D">
        <w:rPr>
          <w:rFonts w:ascii="Arial" w:eastAsia="Times New Roman" w:hAnsi="Arial" w:cs="Arial"/>
          <w:lang w:eastAsia="en-AU"/>
        </w:rPr>
        <w:t>The following organisations are represented on the working group.</w:t>
      </w:r>
    </w:p>
    <w:p w:rsidR="00F62026" w:rsidRDefault="007B773D" w:rsidP="007B773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0" w:line="240" w:lineRule="auto"/>
        <w:ind w:left="1080" w:hanging="540"/>
        <w:rPr>
          <w:rFonts w:ascii="Arial" w:eastAsia="Times New Roman" w:hAnsi="Arial" w:cs="Arial"/>
          <w:lang w:eastAsia="en-AU"/>
        </w:rPr>
      </w:pPr>
      <w:r w:rsidRPr="00F62026">
        <w:rPr>
          <w:rFonts w:ascii="Arial" w:eastAsia="Times New Roman" w:hAnsi="Arial" w:cs="Arial"/>
          <w:lang w:eastAsia="en-AU"/>
        </w:rPr>
        <w:t>CLCs (Elizabeth Evatt Community Legal</w:t>
      </w:r>
      <w:r w:rsidR="00F62026">
        <w:rPr>
          <w:rFonts w:ascii="Arial" w:eastAsia="Times New Roman" w:hAnsi="Arial" w:cs="Arial"/>
          <w:lang w:eastAsia="en-AU"/>
        </w:rPr>
        <w:t xml:space="preserve"> Centre, Kingsford Legal Centre)</w:t>
      </w:r>
    </w:p>
    <w:p w:rsidR="007B773D" w:rsidRPr="00F62026" w:rsidRDefault="007B773D" w:rsidP="007B773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0" w:line="240" w:lineRule="auto"/>
        <w:ind w:left="1080" w:hanging="540"/>
        <w:rPr>
          <w:rFonts w:ascii="Arial" w:eastAsia="Times New Roman" w:hAnsi="Arial" w:cs="Arial"/>
          <w:lang w:eastAsia="en-AU"/>
        </w:rPr>
      </w:pPr>
      <w:r w:rsidRPr="00F62026">
        <w:rPr>
          <w:rFonts w:ascii="Arial" w:eastAsia="Times New Roman" w:hAnsi="Arial" w:cs="Arial"/>
          <w:lang w:eastAsia="en-AU"/>
        </w:rPr>
        <w:t xml:space="preserve">LawAccess NSW </w:t>
      </w:r>
    </w:p>
    <w:p w:rsidR="007B773D" w:rsidRPr="007B773D" w:rsidRDefault="007B773D" w:rsidP="007B773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0" w:line="240" w:lineRule="auto"/>
        <w:ind w:left="1080" w:hanging="540"/>
        <w:rPr>
          <w:rFonts w:ascii="Arial" w:eastAsia="Times New Roman" w:hAnsi="Arial" w:cs="Arial"/>
          <w:lang w:eastAsia="en-AU"/>
        </w:rPr>
      </w:pPr>
      <w:r w:rsidRPr="007B773D">
        <w:rPr>
          <w:rFonts w:ascii="Arial" w:eastAsia="Times New Roman" w:hAnsi="Arial" w:cs="Arial"/>
          <w:lang w:eastAsia="en-AU"/>
        </w:rPr>
        <w:t xml:space="preserve">Legal Aid NSW </w:t>
      </w:r>
    </w:p>
    <w:p w:rsidR="007B773D" w:rsidRDefault="007B773D" w:rsidP="007B773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0" w:line="240" w:lineRule="auto"/>
        <w:ind w:left="1080" w:hanging="54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Tenants Union</w:t>
      </w:r>
    </w:p>
    <w:p w:rsidR="007B773D" w:rsidRDefault="007B773D" w:rsidP="007B773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0" w:line="240" w:lineRule="auto"/>
        <w:ind w:left="1080" w:hanging="540"/>
        <w:rPr>
          <w:rFonts w:ascii="Arial" w:eastAsia="Times New Roman" w:hAnsi="Arial" w:cs="Arial"/>
          <w:lang w:eastAsia="en-AU"/>
        </w:rPr>
      </w:pPr>
      <w:r w:rsidRPr="007B773D">
        <w:rPr>
          <w:rFonts w:ascii="Arial" w:eastAsia="Times New Roman" w:hAnsi="Arial" w:cs="Arial"/>
          <w:lang w:eastAsia="en-AU"/>
        </w:rPr>
        <w:t xml:space="preserve">Public Interest Advocacy Centre </w:t>
      </w:r>
      <w:r>
        <w:rPr>
          <w:rFonts w:ascii="Arial" w:eastAsia="Times New Roman" w:hAnsi="Arial" w:cs="Arial"/>
          <w:lang w:eastAsia="en-AU"/>
        </w:rPr>
        <w:t xml:space="preserve"> including the Homeless Persons Legal Service</w:t>
      </w:r>
    </w:p>
    <w:p w:rsidR="007B773D" w:rsidRDefault="007B773D" w:rsidP="007B773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0" w:line="240" w:lineRule="auto"/>
        <w:ind w:left="1080" w:hanging="54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Public Interest Law Clearing House</w:t>
      </w:r>
    </w:p>
    <w:p w:rsidR="007B773D" w:rsidRPr="007B773D" w:rsidRDefault="007B773D" w:rsidP="00B3632D">
      <w:pPr>
        <w:numPr>
          <w:ilvl w:val="0"/>
          <w:numId w:val="1"/>
        </w:numPr>
        <w:tabs>
          <w:tab w:val="left" w:pos="540"/>
          <w:tab w:val="num" w:pos="1080"/>
          <w:tab w:val="left" w:pos="1418"/>
        </w:tabs>
        <w:spacing w:after="120" w:line="240" w:lineRule="auto"/>
        <w:ind w:left="1078" w:hanging="539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Mental Health Coordinating Council</w:t>
      </w:r>
    </w:p>
    <w:p w:rsidR="007B773D" w:rsidRPr="007B773D" w:rsidRDefault="007B773D" w:rsidP="007B773D">
      <w:pPr>
        <w:spacing w:after="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The working group </w:t>
      </w:r>
      <w:r w:rsidRPr="007B773D">
        <w:rPr>
          <w:rFonts w:ascii="Arial" w:hAnsi="Arial" w:cs="Arial"/>
        </w:rPr>
        <w:t xml:space="preserve">met on 18 February 2013 </w:t>
      </w:r>
      <w:r>
        <w:rPr>
          <w:rFonts w:ascii="Arial" w:hAnsi="Arial" w:cs="Arial"/>
        </w:rPr>
        <w:t xml:space="preserve">at the </w:t>
      </w:r>
      <w:r w:rsidRPr="007B773D">
        <w:rPr>
          <w:rFonts w:ascii="Arial" w:hAnsi="Arial" w:cs="Arial"/>
        </w:rPr>
        <w:t>offices of the Public Interest Advocacy Centre (PIAC).</w:t>
      </w:r>
    </w:p>
    <w:p w:rsidR="007B773D" w:rsidRPr="007B773D" w:rsidRDefault="007B773D" w:rsidP="007B773D">
      <w:pPr>
        <w:spacing w:before="120" w:after="120" w:line="240" w:lineRule="auto"/>
        <w:ind w:left="540" w:hanging="540"/>
        <w:rPr>
          <w:rFonts w:ascii="Arial" w:eastAsia="Times New Roman" w:hAnsi="Arial" w:cs="Arial"/>
          <w:b/>
          <w:lang w:eastAsia="en-AU"/>
        </w:rPr>
      </w:pPr>
      <w:r w:rsidRPr="007B773D">
        <w:rPr>
          <w:rFonts w:ascii="Arial" w:eastAsia="Times New Roman" w:hAnsi="Arial" w:cs="Arial"/>
          <w:b/>
          <w:lang w:eastAsia="en-AU"/>
        </w:rPr>
        <w:t>2.</w:t>
      </w:r>
      <w:r w:rsidRPr="007B773D">
        <w:rPr>
          <w:rFonts w:ascii="Arial" w:eastAsia="Times New Roman" w:hAnsi="Arial" w:cs="Arial"/>
          <w:b/>
          <w:lang w:eastAsia="en-AU"/>
        </w:rPr>
        <w:tab/>
        <w:t>Activities / outcomes</w:t>
      </w:r>
    </w:p>
    <w:p w:rsidR="007B773D" w:rsidRDefault="007B773D" w:rsidP="007B773D">
      <w:pPr>
        <w:spacing w:before="120" w:after="120" w:line="240" w:lineRule="auto"/>
        <w:ind w:left="540" w:hanging="540"/>
        <w:rPr>
          <w:rFonts w:ascii="Arial" w:eastAsia="Times New Roman" w:hAnsi="Arial" w:cs="Arial"/>
          <w:lang w:eastAsia="en-AU"/>
        </w:rPr>
      </w:pPr>
      <w:r w:rsidRPr="007B773D">
        <w:rPr>
          <w:rFonts w:ascii="Arial" w:eastAsia="Times New Roman" w:hAnsi="Arial" w:cs="Arial"/>
          <w:lang w:eastAsia="en-AU"/>
        </w:rPr>
        <w:tab/>
        <w:t>The objectives of the working group are set out in its Terms of Reference.  This report outlines the progress of the group towards achieving these objectives:</w:t>
      </w:r>
    </w:p>
    <w:p w:rsidR="00D77BC3" w:rsidRDefault="00D77BC3" w:rsidP="007B773D">
      <w:pPr>
        <w:spacing w:before="120" w:after="120" w:line="240" w:lineRule="auto"/>
        <w:ind w:left="540" w:hanging="54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  <w:t>The working group acknowledged that there are a significant number of objectives set out in the Terms of Reference for the group.</w:t>
      </w:r>
    </w:p>
    <w:p w:rsidR="00D77BC3" w:rsidRDefault="00D77BC3" w:rsidP="007B773D">
      <w:pPr>
        <w:spacing w:before="120" w:after="120" w:line="240" w:lineRule="auto"/>
        <w:ind w:left="540" w:hanging="54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  <w:t>The working group has prioritised the objectives relating to engagement with Housing NSW and data collection about tenant experiences.</w:t>
      </w:r>
    </w:p>
    <w:p w:rsidR="005E5A78" w:rsidRPr="005E5A78" w:rsidRDefault="005E5A78" w:rsidP="005E5A78">
      <w:pPr>
        <w:tabs>
          <w:tab w:val="left" w:pos="567"/>
        </w:tabs>
        <w:spacing w:after="120"/>
        <w:rPr>
          <w:rFonts w:ascii="Arial" w:eastAsia="Times New Roman" w:hAnsi="Arial" w:cs="Arial"/>
          <w:b/>
          <w:i/>
          <w:lang w:val="en-US"/>
        </w:rPr>
      </w:pPr>
      <w:r w:rsidRPr="005E5A78">
        <w:rPr>
          <w:rFonts w:ascii="Arial" w:eastAsia="Times New Roman" w:hAnsi="Arial" w:cs="Arial"/>
          <w:b/>
          <w:lang w:eastAsia="en-AU"/>
        </w:rPr>
        <w:t>2.1</w:t>
      </w:r>
      <w:r w:rsidRPr="005E5A78">
        <w:rPr>
          <w:rFonts w:ascii="Arial" w:eastAsia="Times New Roman" w:hAnsi="Arial" w:cs="Arial"/>
          <w:b/>
          <w:lang w:eastAsia="en-AU"/>
        </w:rPr>
        <w:tab/>
      </w:r>
      <w:r w:rsidRPr="005E5A78">
        <w:rPr>
          <w:rFonts w:ascii="Arial" w:eastAsia="Times New Roman" w:hAnsi="Arial" w:cs="Arial"/>
          <w:b/>
          <w:i/>
          <w:lang w:val="en-US"/>
        </w:rPr>
        <w:t>Engage with Housing NSW</w:t>
      </w:r>
    </w:p>
    <w:p w:rsidR="005E5A78" w:rsidRPr="005E5A78" w:rsidRDefault="005E5A78" w:rsidP="005E5A78">
      <w:pPr>
        <w:spacing w:after="120" w:line="240" w:lineRule="auto"/>
        <w:ind w:left="567"/>
        <w:rPr>
          <w:rFonts w:ascii="Arial" w:eastAsia="Times New Roman" w:hAnsi="Arial" w:cs="Arial"/>
          <w:i/>
          <w:lang w:val="en-US"/>
        </w:rPr>
      </w:pPr>
      <w:r w:rsidRPr="005E5A78">
        <w:rPr>
          <w:rFonts w:ascii="Arial" w:eastAsia="Times New Roman" w:hAnsi="Arial" w:cs="Arial"/>
          <w:i/>
          <w:lang w:val="en-US"/>
        </w:rPr>
        <w:t>Engage with Housing NSW to develop a constructive working relationship in which to address the housing related legal issues of tenants living in social housing.</w:t>
      </w:r>
    </w:p>
    <w:p w:rsidR="005E5A78" w:rsidRDefault="005E5A78" w:rsidP="005E5A78">
      <w:pPr>
        <w:spacing w:after="120" w:line="240" w:lineRule="auto"/>
        <w:ind w:left="567"/>
        <w:rPr>
          <w:rFonts w:ascii="Arial" w:eastAsia="Times New Roman" w:hAnsi="Arial" w:cs="Arial"/>
          <w:i/>
          <w:lang w:val="en-US"/>
        </w:rPr>
      </w:pPr>
      <w:r w:rsidRPr="005E5A78">
        <w:rPr>
          <w:rFonts w:ascii="Arial" w:eastAsia="Times New Roman" w:hAnsi="Arial" w:cs="Arial"/>
          <w:i/>
          <w:lang w:val="en-US"/>
        </w:rPr>
        <w:t xml:space="preserve">Engage with Housing NSW to facilitate access to assistance (both legal and </w:t>
      </w:r>
      <w:proofErr w:type="spellStart"/>
      <w:r w:rsidRPr="005E5A78">
        <w:rPr>
          <w:rFonts w:ascii="Arial" w:eastAsia="Times New Roman" w:hAnsi="Arial" w:cs="Arial"/>
          <w:i/>
          <w:lang w:val="en-US"/>
        </w:rPr>
        <w:t>non legal</w:t>
      </w:r>
      <w:proofErr w:type="spellEnd"/>
      <w:r w:rsidRPr="005E5A78">
        <w:rPr>
          <w:rFonts w:ascii="Arial" w:eastAsia="Times New Roman" w:hAnsi="Arial" w:cs="Arial"/>
          <w:i/>
          <w:lang w:val="en-US"/>
        </w:rPr>
        <w:t xml:space="preserve">) for tenants at risk of losing their tenancy. </w:t>
      </w:r>
    </w:p>
    <w:p w:rsidR="008626E4" w:rsidRDefault="00F62026" w:rsidP="005E5A78">
      <w:pPr>
        <w:spacing w:after="120" w:line="240" w:lineRule="auto"/>
        <w:ind w:left="567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The working group is </w:t>
      </w:r>
      <w:r w:rsidR="001C2DB4">
        <w:rPr>
          <w:rFonts w:ascii="Arial" w:eastAsia="Times New Roman" w:hAnsi="Arial" w:cs="Arial"/>
          <w:lang w:val="en-US"/>
        </w:rPr>
        <w:t xml:space="preserve">undertaking a detailed examination of </w:t>
      </w:r>
      <w:r>
        <w:rPr>
          <w:rFonts w:ascii="Arial" w:eastAsia="Times New Roman" w:hAnsi="Arial" w:cs="Arial"/>
          <w:lang w:val="en-US"/>
        </w:rPr>
        <w:t xml:space="preserve">the ways in which </w:t>
      </w:r>
      <w:r w:rsidR="00B3632D">
        <w:rPr>
          <w:rFonts w:ascii="Arial" w:eastAsia="Times New Roman" w:hAnsi="Arial" w:cs="Arial"/>
          <w:lang w:val="en-US"/>
        </w:rPr>
        <w:t>Housing NSW currently engages</w:t>
      </w:r>
      <w:r w:rsidR="00B3632D">
        <w:rPr>
          <w:rFonts w:ascii="Arial" w:eastAsia="Times New Roman" w:hAnsi="Arial" w:cs="Arial"/>
          <w:lang w:val="en-US"/>
        </w:rPr>
        <w:t xml:space="preserve"> with organisations supporting tenants in social housing</w:t>
      </w:r>
      <w:r w:rsidR="008626E4">
        <w:rPr>
          <w:rFonts w:ascii="Arial" w:eastAsia="Times New Roman" w:hAnsi="Arial" w:cs="Arial"/>
          <w:lang w:val="en-US"/>
        </w:rPr>
        <w:t>:</w:t>
      </w:r>
      <w:r w:rsidR="00B3632D">
        <w:rPr>
          <w:rFonts w:ascii="Arial" w:eastAsia="Times New Roman" w:hAnsi="Arial" w:cs="Arial"/>
          <w:lang w:val="en-US"/>
        </w:rPr>
        <w:t xml:space="preserve"> </w:t>
      </w:r>
    </w:p>
    <w:p w:rsidR="008626E4" w:rsidRPr="008626E4" w:rsidRDefault="008626E4" w:rsidP="008626E4">
      <w:pPr>
        <w:pStyle w:val="ListParagraph"/>
        <w:numPr>
          <w:ilvl w:val="0"/>
          <w:numId w:val="7"/>
        </w:numPr>
        <w:spacing w:after="120" w:line="240" w:lineRule="auto"/>
        <w:ind w:left="1134" w:hanging="567"/>
        <w:contextualSpacing w:val="0"/>
        <w:rPr>
          <w:rFonts w:ascii="Arial" w:eastAsia="Times New Roman" w:hAnsi="Arial" w:cs="Arial"/>
          <w:lang w:val="en-US"/>
        </w:rPr>
      </w:pPr>
      <w:r w:rsidRPr="008626E4">
        <w:rPr>
          <w:rFonts w:ascii="Arial" w:eastAsia="Times New Roman" w:hAnsi="Arial" w:cs="Arial"/>
          <w:lang w:val="en-US"/>
        </w:rPr>
        <w:t xml:space="preserve">The Tenants Union developed a background briefing paper on social housing in NSW.  The paper </w:t>
      </w:r>
      <w:r>
        <w:rPr>
          <w:rFonts w:ascii="Arial" w:eastAsia="Times New Roman" w:hAnsi="Arial" w:cs="Arial"/>
          <w:lang w:val="en-US"/>
        </w:rPr>
        <w:t>outlined</w:t>
      </w:r>
      <w:r w:rsidRPr="008626E4">
        <w:rPr>
          <w:rFonts w:ascii="Arial" w:eastAsia="Times New Roman" w:hAnsi="Arial" w:cs="Arial"/>
          <w:lang w:val="en-US"/>
        </w:rPr>
        <w:t>:</w:t>
      </w:r>
    </w:p>
    <w:p w:rsidR="008626E4" w:rsidRPr="00D176D8" w:rsidRDefault="008626E4" w:rsidP="008626E4">
      <w:pPr>
        <w:pStyle w:val="ListParagraph"/>
        <w:numPr>
          <w:ilvl w:val="0"/>
          <w:numId w:val="7"/>
        </w:numPr>
        <w:spacing w:after="120" w:line="240" w:lineRule="auto"/>
        <w:ind w:left="1701" w:hanging="567"/>
        <w:contextualSpacing w:val="0"/>
        <w:rPr>
          <w:rFonts w:ascii="Arial" w:eastAsia="Times New Roman" w:hAnsi="Arial" w:cs="Arial"/>
          <w:lang w:val="en-US"/>
        </w:rPr>
      </w:pPr>
      <w:r w:rsidRPr="00D176D8">
        <w:rPr>
          <w:rFonts w:ascii="Arial" w:eastAsia="Times New Roman" w:hAnsi="Arial" w:cs="Arial"/>
          <w:lang w:val="en-US"/>
        </w:rPr>
        <w:t>a brief history of policies and funding arrangements in the social housing sector;</w:t>
      </w:r>
    </w:p>
    <w:p w:rsidR="008626E4" w:rsidRPr="00D176D8" w:rsidRDefault="008626E4" w:rsidP="008626E4">
      <w:pPr>
        <w:pStyle w:val="ListParagraph"/>
        <w:numPr>
          <w:ilvl w:val="0"/>
          <w:numId w:val="7"/>
        </w:numPr>
        <w:spacing w:after="120" w:line="240" w:lineRule="auto"/>
        <w:ind w:left="1701" w:hanging="567"/>
        <w:contextualSpacing w:val="0"/>
        <w:rPr>
          <w:rFonts w:ascii="Arial" w:eastAsia="Times New Roman" w:hAnsi="Arial" w:cs="Arial"/>
          <w:lang w:val="en-US"/>
        </w:rPr>
      </w:pPr>
      <w:r w:rsidRPr="00D176D8">
        <w:rPr>
          <w:rFonts w:ascii="Arial" w:eastAsia="Times New Roman" w:hAnsi="Arial" w:cs="Arial"/>
          <w:lang w:val="en-US"/>
        </w:rPr>
        <w:t>a description of the components of the social housing sector today</w:t>
      </w:r>
      <w:r>
        <w:rPr>
          <w:rFonts w:ascii="Arial" w:eastAsia="Times New Roman" w:hAnsi="Arial" w:cs="Arial"/>
          <w:lang w:val="en-US"/>
        </w:rPr>
        <w:t>;</w:t>
      </w:r>
    </w:p>
    <w:p w:rsidR="008626E4" w:rsidRPr="00D176D8" w:rsidRDefault="008626E4" w:rsidP="008626E4">
      <w:pPr>
        <w:pStyle w:val="ListParagraph"/>
        <w:numPr>
          <w:ilvl w:val="0"/>
          <w:numId w:val="7"/>
        </w:numPr>
        <w:spacing w:after="120" w:line="240" w:lineRule="auto"/>
        <w:ind w:left="1701" w:hanging="567"/>
        <w:contextualSpacing w:val="0"/>
        <w:rPr>
          <w:rFonts w:ascii="Arial" w:eastAsia="Times New Roman" w:hAnsi="Arial" w:cs="Arial"/>
          <w:lang w:val="en-US"/>
        </w:rPr>
      </w:pPr>
      <w:r w:rsidRPr="00D176D8">
        <w:rPr>
          <w:rFonts w:ascii="Arial" w:eastAsia="Times New Roman" w:hAnsi="Arial" w:cs="Arial"/>
          <w:lang w:val="en-US"/>
        </w:rPr>
        <w:t>a summary of current legal issues facing social housing tenants</w:t>
      </w:r>
      <w:r>
        <w:rPr>
          <w:rFonts w:ascii="Arial" w:eastAsia="Times New Roman" w:hAnsi="Arial" w:cs="Arial"/>
          <w:lang w:val="en-US"/>
        </w:rPr>
        <w:t>; and</w:t>
      </w:r>
    </w:p>
    <w:p w:rsidR="008626E4" w:rsidRDefault="008626E4" w:rsidP="008626E4">
      <w:pPr>
        <w:pStyle w:val="ListParagraph"/>
        <w:numPr>
          <w:ilvl w:val="0"/>
          <w:numId w:val="7"/>
        </w:numPr>
        <w:spacing w:after="120" w:line="240" w:lineRule="auto"/>
        <w:ind w:left="1701" w:hanging="567"/>
        <w:contextualSpacing w:val="0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US"/>
        </w:rPr>
        <w:t>o</w:t>
      </w:r>
      <w:r w:rsidRPr="00D176D8">
        <w:rPr>
          <w:rFonts w:ascii="Arial" w:eastAsia="Times New Roman" w:hAnsi="Arial" w:cs="Arial"/>
          <w:lang w:val="en-US"/>
        </w:rPr>
        <w:t>pportunities</w:t>
      </w:r>
      <w:proofErr w:type="gramEnd"/>
      <w:r w:rsidRPr="00D176D8">
        <w:rPr>
          <w:rFonts w:ascii="Arial" w:eastAsia="Times New Roman" w:hAnsi="Arial" w:cs="Arial"/>
          <w:lang w:val="en-US"/>
        </w:rPr>
        <w:t xml:space="preserve"> for engagement with Housing NSW.</w:t>
      </w:r>
    </w:p>
    <w:p w:rsidR="00FF7D7C" w:rsidRPr="00F91C35" w:rsidRDefault="00FF7D7C" w:rsidP="00F91C35">
      <w:pPr>
        <w:pStyle w:val="ListParagraph"/>
        <w:numPr>
          <w:ilvl w:val="0"/>
          <w:numId w:val="7"/>
        </w:numPr>
        <w:spacing w:after="120" w:line="240" w:lineRule="auto"/>
        <w:ind w:left="1134" w:hanging="567"/>
        <w:contextualSpacing w:val="0"/>
        <w:rPr>
          <w:rFonts w:ascii="Arial" w:eastAsia="Times New Roman" w:hAnsi="Arial" w:cs="Arial"/>
          <w:lang w:val="en-US"/>
        </w:rPr>
      </w:pPr>
      <w:r w:rsidRPr="00FF7D7C">
        <w:rPr>
          <w:rFonts w:ascii="Arial" w:eastAsia="Times New Roman" w:hAnsi="Arial" w:cs="Arial"/>
          <w:lang w:val="en-US"/>
        </w:rPr>
        <w:t xml:space="preserve">The Mental Health Coordinating Council developed a briefing paper outlining the </w:t>
      </w:r>
      <w:r>
        <w:rPr>
          <w:rFonts w:ascii="Arial" w:eastAsia="Times New Roman" w:hAnsi="Arial" w:cs="Arial"/>
          <w:lang w:val="en-US"/>
        </w:rPr>
        <w:t>various committees in which they participate that relate to housing and homelessness.</w:t>
      </w:r>
    </w:p>
    <w:p w:rsidR="008626E4" w:rsidRPr="008626E4" w:rsidRDefault="008626E4" w:rsidP="008626E4">
      <w:pPr>
        <w:pStyle w:val="ListParagraph"/>
        <w:numPr>
          <w:ilvl w:val="0"/>
          <w:numId w:val="7"/>
        </w:numPr>
        <w:spacing w:after="120" w:line="240" w:lineRule="auto"/>
        <w:ind w:left="1134" w:hanging="567"/>
        <w:rPr>
          <w:rFonts w:ascii="Arial" w:eastAsia="Times New Roman" w:hAnsi="Arial" w:cs="Arial"/>
          <w:lang w:val="en-US"/>
        </w:rPr>
      </w:pPr>
      <w:r w:rsidRPr="008626E4">
        <w:rPr>
          <w:rFonts w:ascii="Arial" w:eastAsia="Times New Roman" w:hAnsi="Arial" w:cs="Arial"/>
          <w:lang w:val="en-US"/>
        </w:rPr>
        <w:t>At the meeting of the working group, t</w:t>
      </w:r>
      <w:r w:rsidRPr="008626E4">
        <w:rPr>
          <w:rFonts w:ascii="Arial" w:eastAsia="Times New Roman" w:hAnsi="Arial" w:cs="Arial"/>
          <w:lang w:val="en-US"/>
        </w:rPr>
        <w:t xml:space="preserve">he Tenants Union delivered a presentation to the group about current policy frameworks, consultative structures and opportunities for engagement with Housing NSW.  The Homeless Persons Legal Service </w:t>
      </w:r>
      <w:r w:rsidRPr="008626E4">
        <w:rPr>
          <w:rFonts w:ascii="Arial" w:eastAsia="Times New Roman" w:hAnsi="Arial" w:cs="Arial"/>
          <w:lang w:val="en-US"/>
        </w:rPr>
        <w:t xml:space="preserve">also </w:t>
      </w:r>
      <w:r w:rsidRPr="008626E4">
        <w:rPr>
          <w:rFonts w:ascii="Arial" w:eastAsia="Times New Roman" w:hAnsi="Arial" w:cs="Arial"/>
          <w:lang w:val="en-US"/>
        </w:rPr>
        <w:t xml:space="preserve">delivered a presentation to the group about the ways in which </w:t>
      </w:r>
      <w:proofErr w:type="spellStart"/>
      <w:r w:rsidRPr="008626E4">
        <w:rPr>
          <w:rFonts w:ascii="Arial" w:eastAsia="Times New Roman" w:hAnsi="Arial" w:cs="Arial"/>
          <w:lang w:val="en-US"/>
        </w:rPr>
        <w:t>StreetCare</w:t>
      </w:r>
      <w:proofErr w:type="spellEnd"/>
      <w:r w:rsidRPr="008626E4">
        <w:rPr>
          <w:rFonts w:ascii="Arial" w:eastAsia="Times New Roman" w:hAnsi="Arial" w:cs="Arial"/>
          <w:lang w:val="en-US"/>
        </w:rPr>
        <w:t xml:space="preserve"> and the Homeless Persons Legal Service currently engage with Housing NSW and the Premier's Council on Homelessness.</w:t>
      </w:r>
    </w:p>
    <w:p w:rsidR="00D176D8" w:rsidRDefault="00D176D8" w:rsidP="005E5A78">
      <w:pPr>
        <w:spacing w:after="120" w:line="240" w:lineRule="auto"/>
        <w:ind w:left="567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 xml:space="preserve">The working group identified that Housing NSW </w:t>
      </w:r>
      <w:r>
        <w:rPr>
          <w:rFonts w:ascii="Arial" w:eastAsia="Times New Roman" w:hAnsi="Arial" w:cs="Arial"/>
          <w:lang w:val="en-US"/>
        </w:rPr>
        <w:t>meets with a range of government and non</w:t>
      </w:r>
      <w:r w:rsidR="00F91C35">
        <w:rPr>
          <w:rFonts w:ascii="Arial" w:eastAsia="Times New Roman" w:hAnsi="Arial" w:cs="Arial"/>
          <w:lang w:val="en-US"/>
        </w:rPr>
        <w:t>-</w:t>
      </w:r>
      <w:r>
        <w:rPr>
          <w:rFonts w:ascii="Arial" w:eastAsia="Times New Roman" w:hAnsi="Arial" w:cs="Arial"/>
          <w:lang w:val="en-US"/>
        </w:rPr>
        <w:t xml:space="preserve">government agencies </w:t>
      </w:r>
      <w:r w:rsidR="001C2DB4">
        <w:rPr>
          <w:rFonts w:ascii="Arial" w:eastAsia="Times New Roman" w:hAnsi="Arial" w:cs="Arial"/>
          <w:lang w:val="en-US"/>
        </w:rPr>
        <w:t>via</w:t>
      </w:r>
      <w:r>
        <w:rPr>
          <w:rFonts w:ascii="Arial" w:eastAsia="Times New Roman" w:hAnsi="Arial" w:cs="Arial"/>
          <w:lang w:val="en-US"/>
        </w:rPr>
        <w:t xml:space="preserve"> numerous committees, reference groups and forums.  </w:t>
      </w:r>
      <w:r w:rsidR="001C2DB4">
        <w:rPr>
          <w:rFonts w:ascii="Arial" w:eastAsia="Times New Roman" w:hAnsi="Arial" w:cs="Arial"/>
          <w:lang w:val="en-US"/>
        </w:rPr>
        <w:t xml:space="preserve">The working group is considering strategies to effectively engage with Housing NSW given the complex </w:t>
      </w:r>
      <w:r w:rsidR="008626E4">
        <w:rPr>
          <w:rFonts w:ascii="Arial" w:eastAsia="Times New Roman" w:hAnsi="Arial" w:cs="Arial"/>
          <w:lang w:val="en-US"/>
        </w:rPr>
        <w:t xml:space="preserve">structures </w:t>
      </w:r>
      <w:r w:rsidR="00FF7D7C">
        <w:rPr>
          <w:rFonts w:ascii="Arial" w:eastAsia="Times New Roman" w:hAnsi="Arial" w:cs="Arial"/>
          <w:lang w:val="en-US"/>
        </w:rPr>
        <w:t>that are currently in place for engagement and communicating with Housing NSW.</w:t>
      </w:r>
      <w:r w:rsidR="008626E4">
        <w:rPr>
          <w:rFonts w:ascii="Arial" w:eastAsia="Times New Roman" w:hAnsi="Arial" w:cs="Arial"/>
          <w:lang w:val="en-US"/>
        </w:rPr>
        <w:t xml:space="preserve"> </w:t>
      </w:r>
    </w:p>
    <w:p w:rsidR="005E5A78" w:rsidRPr="005E5A78" w:rsidRDefault="005E5A78" w:rsidP="005E5A78">
      <w:pPr>
        <w:tabs>
          <w:tab w:val="left" w:pos="567"/>
        </w:tabs>
        <w:spacing w:after="120" w:line="240" w:lineRule="auto"/>
        <w:rPr>
          <w:rFonts w:ascii="Arial" w:eastAsia="Times New Roman" w:hAnsi="Arial" w:cs="Arial"/>
          <w:b/>
          <w:lang w:val="en-US"/>
        </w:rPr>
      </w:pPr>
      <w:r w:rsidRPr="005E5A78">
        <w:rPr>
          <w:rFonts w:ascii="Arial" w:eastAsia="Times New Roman" w:hAnsi="Arial" w:cs="Arial"/>
          <w:b/>
          <w:lang w:val="en-US"/>
        </w:rPr>
        <w:t>2.2</w:t>
      </w:r>
      <w:r w:rsidRPr="005E5A78">
        <w:rPr>
          <w:rFonts w:ascii="Arial" w:eastAsia="Times New Roman" w:hAnsi="Arial" w:cs="Arial"/>
          <w:b/>
          <w:lang w:val="en-US"/>
        </w:rPr>
        <w:tab/>
        <w:t>Housing and Mental Health Agreement</w:t>
      </w:r>
    </w:p>
    <w:p w:rsidR="005E5A78" w:rsidRPr="005E5A78" w:rsidRDefault="005E5A78" w:rsidP="005E5A78">
      <w:pPr>
        <w:spacing w:after="120" w:line="240" w:lineRule="auto"/>
        <w:ind w:left="567"/>
        <w:rPr>
          <w:rFonts w:ascii="Arial" w:eastAsia="Times New Roman" w:hAnsi="Arial" w:cs="Arial"/>
          <w:i/>
          <w:lang w:val="en-US"/>
        </w:rPr>
      </w:pPr>
      <w:r w:rsidRPr="005E5A78">
        <w:rPr>
          <w:rFonts w:ascii="Arial" w:eastAsia="Times New Roman" w:hAnsi="Arial" w:cs="Arial"/>
          <w:i/>
          <w:lang w:val="en-US"/>
        </w:rPr>
        <w:t xml:space="preserve">Investigate the progress that has been made towards implementing the Housing and Mental Health Agreement. </w:t>
      </w:r>
    </w:p>
    <w:p w:rsidR="005E5A78" w:rsidRDefault="005E5A78" w:rsidP="005E5A78">
      <w:pPr>
        <w:spacing w:after="120" w:line="240" w:lineRule="auto"/>
        <w:ind w:left="567"/>
        <w:rPr>
          <w:rFonts w:ascii="Arial" w:eastAsia="Times New Roman" w:hAnsi="Arial" w:cs="Arial"/>
          <w:i/>
        </w:rPr>
      </w:pPr>
      <w:r w:rsidRPr="005E5A78">
        <w:rPr>
          <w:rFonts w:ascii="Arial" w:eastAsia="Times New Roman" w:hAnsi="Arial" w:cs="Arial"/>
          <w:i/>
          <w:lang w:val="en-US"/>
        </w:rPr>
        <w:t xml:space="preserve">Engage with Housing NSW and Health NSW in relation to the implementation of the agreement.  </w:t>
      </w:r>
      <w:proofErr w:type="gramStart"/>
      <w:r w:rsidRPr="005E5A78">
        <w:rPr>
          <w:rFonts w:ascii="Arial" w:eastAsia="Times New Roman" w:hAnsi="Arial" w:cs="Arial"/>
          <w:i/>
          <w:lang w:val="en-US"/>
        </w:rPr>
        <w:t xml:space="preserve">For example, participation in </w:t>
      </w:r>
      <w:r w:rsidRPr="005E5A78">
        <w:rPr>
          <w:rFonts w:ascii="Arial" w:eastAsia="Times New Roman" w:hAnsi="Arial" w:cs="Arial"/>
          <w:i/>
        </w:rPr>
        <w:t xml:space="preserve">Housing and Mental Health District Implementation and Coordinating Committees (DIACCs) and the development of their </w:t>
      </w:r>
      <w:proofErr w:type="spellStart"/>
      <w:r w:rsidRPr="005E5A78">
        <w:rPr>
          <w:rFonts w:ascii="Arial" w:eastAsia="Times New Roman" w:hAnsi="Arial" w:cs="Arial"/>
          <w:i/>
        </w:rPr>
        <w:t>workplans</w:t>
      </w:r>
      <w:proofErr w:type="spellEnd"/>
      <w:r w:rsidRPr="005E5A78">
        <w:rPr>
          <w:rFonts w:ascii="Arial" w:eastAsia="Times New Roman" w:hAnsi="Arial" w:cs="Arial"/>
          <w:i/>
        </w:rPr>
        <w:t>.</w:t>
      </w:r>
      <w:proofErr w:type="gramEnd"/>
      <w:r w:rsidRPr="005E5A78">
        <w:rPr>
          <w:rFonts w:ascii="Arial" w:eastAsia="Times New Roman" w:hAnsi="Arial" w:cs="Arial"/>
          <w:i/>
        </w:rPr>
        <w:t xml:space="preserve"> </w:t>
      </w:r>
    </w:p>
    <w:p w:rsidR="005E5A78" w:rsidRPr="005E5A78" w:rsidRDefault="005E5A78" w:rsidP="005E5A78">
      <w:pPr>
        <w:spacing w:after="120" w:line="240" w:lineRule="auto"/>
        <w:ind w:left="567"/>
        <w:rPr>
          <w:rFonts w:ascii="Arial" w:eastAsia="Times New Roman" w:hAnsi="Arial" w:cs="Arial"/>
        </w:rPr>
      </w:pPr>
      <w:r w:rsidRPr="005E5A78">
        <w:rPr>
          <w:rFonts w:ascii="Arial" w:eastAsia="Times New Roman" w:hAnsi="Arial" w:cs="Arial"/>
        </w:rPr>
        <w:t xml:space="preserve">The working </w:t>
      </w:r>
      <w:r w:rsidR="00D77BC3">
        <w:rPr>
          <w:rFonts w:ascii="Arial" w:eastAsia="Times New Roman" w:hAnsi="Arial" w:cs="Arial"/>
        </w:rPr>
        <w:t>g</w:t>
      </w:r>
      <w:r w:rsidRPr="005E5A78">
        <w:rPr>
          <w:rFonts w:ascii="Arial" w:eastAsia="Times New Roman" w:hAnsi="Arial" w:cs="Arial"/>
        </w:rPr>
        <w:t xml:space="preserve">roup is investigating </w:t>
      </w:r>
      <w:r>
        <w:rPr>
          <w:rFonts w:ascii="Arial" w:eastAsia="Times New Roman" w:hAnsi="Arial" w:cs="Arial"/>
        </w:rPr>
        <w:t>developments in relation to implementation of the Mental Health Agreement through the Mental Health Coordinating Council.</w:t>
      </w:r>
      <w:r w:rsidRPr="005E5A78">
        <w:rPr>
          <w:rFonts w:ascii="Arial" w:eastAsia="Times New Roman" w:hAnsi="Arial" w:cs="Arial"/>
        </w:rPr>
        <w:t xml:space="preserve"> </w:t>
      </w:r>
    </w:p>
    <w:p w:rsidR="005E5A78" w:rsidRPr="005E5A78" w:rsidRDefault="005E5A78" w:rsidP="005E5A78">
      <w:pPr>
        <w:tabs>
          <w:tab w:val="left" w:pos="567"/>
        </w:tabs>
        <w:spacing w:after="120" w:line="240" w:lineRule="auto"/>
        <w:rPr>
          <w:rFonts w:ascii="Arial" w:eastAsia="Times New Roman" w:hAnsi="Arial" w:cs="Arial"/>
          <w:lang w:val="en-US"/>
        </w:rPr>
      </w:pPr>
      <w:r w:rsidRPr="005E5A78">
        <w:rPr>
          <w:rFonts w:ascii="Arial" w:eastAsia="Times New Roman" w:hAnsi="Arial" w:cs="Arial"/>
          <w:b/>
          <w:lang w:val="en-US"/>
        </w:rPr>
        <w:t>2.3</w:t>
      </w:r>
      <w:r w:rsidRPr="005E5A78">
        <w:rPr>
          <w:rFonts w:ascii="Arial" w:eastAsia="Times New Roman" w:hAnsi="Arial" w:cs="Arial"/>
          <w:b/>
          <w:lang w:val="en-US"/>
        </w:rPr>
        <w:tab/>
        <w:t>Collect data about tenant experiences and map express legal need</w:t>
      </w:r>
      <w:r w:rsidRPr="005E5A78">
        <w:rPr>
          <w:rFonts w:ascii="Arial" w:eastAsia="Times New Roman" w:hAnsi="Arial" w:cs="Arial"/>
          <w:lang w:val="en-US"/>
        </w:rPr>
        <w:t xml:space="preserve">  </w:t>
      </w:r>
    </w:p>
    <w:p w:rsidR="005E5A78" w:rsidRPr="005E5A78" w:rsidRDefault="005E5A78" w:rsidP="00B3632D">
      <w:pPr>
        <w:spacing w:after="120" w:line="240" w:lineRule="auto"/>
        <w:ind w:left="567"/>
        <w:rPr>
          <w:rFonts w:ascii="Arial" w:eastAsia="Times New Roman" w:hAnsi="Arial" w:cs="Arial"/>
          <w:i/>
          <w:lang w:val="en-US"/>
        </w:rPr>
      </w:pPr>
      <w:r w:rsidRPr="005E5A78">
        <w:rPr>
          <w:rFonts w:ascii="Arial" w:eastAsia="Times New Roman" w:hAnsi="Arial" w:cs="Arial"/>
          <w:i/>
          <w:lang w:val="en-US"/>
        </w:rPr>
        <w:t>Develop a data base of case studies that illustrate:</w:t>
      </w:r>
    </w:p>
    <w:p w:rsidR="005E5A78" w:rsidRPr="005E5A78" w:rsidRDefault="005E5A78" w:rsidP="00B3632D">
      <w:pPr>
        <w:numPr>
          <w:ilvl w:val="0"/>
          <w:numId w:val="4"/>
        </w:numPr>
        <w:spacing w:after="120" w:line="240" w:lineRule="auto"/>
        <w:ind w:left="1134" w:hanging="567"/>
        <w:rPr>
          <w:rFonts w:ascii="Arial" w:eastAsia="Times New Roman" w:hAnsi="Arial" w:cs="Arial"/>
          <w:i/>
          <w:lang w:val="en-US"/>
        </w:rPr>
      </w:pPr>
      <w:r w:rsidRPr="005E5A78">
        <w:rPr>
          <w:rFonts w:ascii="Arial" w:eastAsia="Times New Roman" w:hAnsi="Arial" w:cs="Arial"/>
          <w:i/>
          <w:lang w:val="en-US"/>
        </w:rPr>
        <w:t>the difficulties / barriers / challenges to sustaining a tenancy (including case studies involving CTTT decisions that impact adversely on the continuation of social housing tenancies</w:t>
      </w:r>
      <w:r w:rsidRPr="005E5A7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Pr="005E5A78">
        <w:rPr>
          <w:rFonts w:ascii="Arial" w:eastAsia="Times New Roman" w:hAnsi="Arial" w:cs="Arial"/>
          <w:i/>
          <w:lang w:val="en-US"/>
        </w:rPr>
        <w:t>; and</w:t>
      </w:r>
    </w:p>
    <w:p w:rsidR="005E5A78" w:rsidRPr="00B3632D" w:rsidRDefault="005E5A78" w:rsidP="00B3632D">
      <w:pPr>
        <w:numPr>
          <w:ilvl w:val="0"/>
          <w:numId w:val="4"/>
        </w:numPr>
        <w:spacing w:after="120" w:line="240" w:lineRule="auto"/>
        <w:ind w:left="1134" w:hanging="567"/>
        <w:rPr>
          <w:rFonts w:ascii="Arial" w:eastAsia="Times New Roman" w:hAnsi="Arial" w:cs="Arial"/>
          <w:i/>
          <w:lang w:val="en-US"/>
        </w:rPr>
      </w:pPr>
      <w:proofErr w:type="gramStart"/>
      <w:r w:rsidRPr="005E5A78">
        <w:rPr>
          <w:rFonts w:ascii="Arial" w:eastAsia="Times New Roman" w:hAnsi="Arial" w:cs="Arial"/>
          <w:i/>
          <w:lang w:val="en-US"/>
        </w:rPr>
        <w:t>successful</w:t>
      </w:r>
      <w:proofErr w:type="gramEnd"/>
      <w:r w:rsidRPr="005E5A78">
        <w:rPr>
          <w:rFonts w:ascii="Arial" w:eastAsia="Times New Roman" w:hAnsi="Arial" w:cs="Arial"/>
          <w:i/>
          <w:lang w:val="en-US"/>
        </w:rPr>
        <w:t xml:space="preserve"> maintenance of a </w:t>
      </w:r>
      <w:proofErr w:type="spellStart"/>
      <w:r w:rsidRPr="005E5A78">
        <w:rPr>
          <w:rFonts w:ascii="Arial" w:eastAsia="Times New Roman" w:hAnsi="Arial" w:cs="Arial"/>
          <w:i/>
          <w:lang w:val="en-US"/>
        </w:rPr>
        <w:t>tenancy,</w:t>
      </w:r>
      <w:r w:rsidRPr="00B3632D">
        <w:rPr>
          <w:rFonts w:ascii="Arial" w:eastAsia="Times New Roman" w:hAnsi="Arial" w:cs="Arial"/>
          <w:i/>
          <w:lang w:val="en-US"/>
        </w:rPr>
        <w:t>for</w:t>
      </w:r>
      <w:proofErr w:type="spellEnd"/>
      <w:r w:rsidRPr="00B3632D">
        <w:rPr>
          <w:rFonts w:ascii="Arial" w:eastAsia="Times New Roman" w:hAnsi="Arial" w:cs="Arial"/>
          <w:i/>
          <w:lang w:val="en-US"/>
        </w:rPr>
        <w:t xml:space="preserve"> vulnerable people at risk of homelessness living in social housing (and renting in the private rental market, if it is reasonably practical to collect this data).</w:t>
      </w:r>
    </w:p>
    <w:p w:rsidR="007B773D" w:rsidRDefault="005E5A78" w:rsidP="00B3632D">
      <w:pPr>
        <w:spacing w:before="120" w:after="120" w:line="240" w:lineRule="auto"/>
        <w:ind w:left="567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The working group has agreed that member organisa</w:t>
      </w:r>
      <w:r w:rsidR="00B3632D">
        <w:rPr>
          <w:rFonts w:ascii="Arial" w:eastAsia="Times New Roman" w:hAnsi="Arial" w:cs="Arial"/>
          <w:lang w:eastAsia="en-AU"/>
        </w:rPr>
        <w:t xml:space="preserve">tions will collect case studies </w:t>
      </w:r>
      <w:r>
        <w:rPr>
          <w:rFonts w:ascii="Arial" w:eastAsia="Times New Roman" w:hAnsi="Arial" w:cs="Arial"/>
          <w:lang w:eastAsia="en-AU"/>
        </w:rPr>
        <w:t>relating to:</w:t>
      </w:r>
    </w:p>
    <w:p w:rsidR="005E5A78" w:rsidRDefault="00F91C35" w:rsidP="00B3632D">
      <w:pPr>
        <w:pStyle w:val="ListParagraph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r</w:t>
      </w:r>
      <w:r w:rsidR="00D77BC3">
        <w:rPr>
          <w:rFonts w:ascii="Arial" w:eastAsia="Times New Roman" w:hAnsi="Arial" w:cs="Arial"/>
          <w:lang w:eastAsia="en-AU"/>
        </w:rPr>
        <w:t xml:space="preserve">epairs </w:t>
      </w:r>
    </w:p>
    <w:p w:rsidR="00D77BC3" w:rsidRDefault="00F91C35" w:rsidP="00B3632D">
      <w:pPr>
        <w:pStyle w:val="ListParagraph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b</w:t>
      </w:r>
      <w:r w:rsidR="00D77BC3">
        <w:rPr>
          <w:rFonts w:ascii="Arial" w:eastAsia="Times New Roman" w:hAnsi="Arial" w:cs="Arial"/>
          <w:lang w:eastAsia="en-AU"/>
        </w:rPr>
        <w:t>ack dating rent subsidies</w:t>
      </w:r>
      <w:r>
        <w:rPr>
          <w:rFonts w:ascii="Arial" w:eastAsia="Times New Roman" w:hAnsi="Arial" w:cs="Arial"/>
          <w:lang w:eastAsia="en-AU"/>
        </w:rPr>
        <w:t>; and</w:t>
      </w:r>
    </w:p>
    <w:p w:rsidR="00F91C35" w:rsidRPr="00F91C35" w:rsidRDefault="00F91C35" w:rsidP="00F91C35">
      <w:pPr>
        <w:pStyle w:val="ListParagraph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rPr>
          <w:rFonts w:ascii="Arial" w:eastAsia="Times New Roman" w:hAnsi="Arial" w:cs="Arial"/>
          <w:lang w:eastAsia="en-AU"/>
        </w:rPr>
      </w:pPr>
      <w:proofErr w:type="gramStart"/>
      <w:r>
        <w:rPr>
          <w:rFonts w:ascii="Arial" w:eastAsia="Times New Roman" w:hAnsi="Arial" w:cs="Arial"/>
          <w:lang w:eastAsia="en-AU"/>
        </w:rPr>
        <w:t>termination</w:t>
      </w:r>
      <w:proofErr w:type="gramEnd"/>
      <w:r>
        <w:rPr>
          <w:rFonts w:ascii="Arial" w:eastAsia="Times New Roman" w:hAnsi="Arial" w:cs="Arial"/>
          <w:lang w:eastAsia="en-AU"/>
        </w:rPr>
        <w:t xml:space="preserve"> of tenancies where the procedures and processes for terminating tenancies as mandated by Housing NSW, have not been followed</w:t>
      </w:r>
      <w:r w:rsidR="00D77BC3">
        <w:rPr>
          <w:rFonts w:ascii="Arial" w:eastAsia="Times New Roman" w:hAnsi="Arial" w:cs="Arial"/>
          <w:lang w:eastAsia="en-AU"/>
        </w:rPr>
        <w:t>.</w:t>
      </w:r>
    </w:p>
    <w:p w:rsidR="00B3632D" w:rsidRPr="00B3632D" w:rsidRDefault="00B3632D" w:rsidP="00B3632D">
      <w:pPr>
        <w:tabs>
          <w:tab w:val="left" w:pos="567"/>
        </w:tabs>
        <w:spacing w:before="120" w:after="120" w:line="240" w:lineRule="auto"/>
        <w:ind w:left="567" w:hanging="567"/>
        <w:rPr>
          <w:rFonts w:ascii="Arial" w:eastAsia="Times New Roman" w:hAnsi="Arial" w:cs="Arial"/>
          <w:b/>
          <w:lang w:eastAsia="en-AU"/>
        </w:rPr>
      </w:pPr>
      <w:r w:rsidRPr="00B3632D">
        <w:rPr>
          <w:rFonts w:ascii="Arial" w:eastAsia="Times New Roman" w:hAnsi="Arial" w:cs="Arial"/>
          <w:b/>
          <w:lang w:eastAsia="en-AU"/>
        </w:rPr>
        <w:t>3.</w:t>
      </w:r>
      <w:r w:rsidRPr="00B3632D">
        <w:rPr>
          <w:rFonts w:ascii="Arial" w:eastAsia="Times New Roman" w:hAnsi="Arial" w:cs="Arial"/>
          <w:b/>
          <w:lang w:eastAsia="en-AU"/>
        </w:rPr>
        <w:tab/>
        <w:t>Next meeting</w:t>
      </w:r>
    </w:p>
    <w:p w:rsidR="00B3632D" w:rsidRDefault="00B3632D" w:rsidP="00B3632D">
      <w:pPr>
        <w:tabs>
          <w:tab w:val="left" w:pos="567"/>
        </w:tabs>
        <w:spacing w:before="120" w:after="12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  <w:t>The working group is scheduled to meet again on Monday 8 April 2013.</w:t>
      </w:r>
    </w:p>
    <w:p w:rsidR="00B3632D" w:rsidRDefault="00B3632D" w:rsidP="00B3632D">
      <w:pPr>
        <w:tabs>
          <w:tab w:val="left" w:pos="567"/>
        </w:tabs>
        <w:spacing w:before="120" w:after="120" w:line="240" w:lineRule="auto"/>
        <w:rPr>
          <w:rFonts w:ascii="Arial" w:eastAsia="Times New Roman" w:hAnsi="Arial" w:cs="Arial"/>
          <w:lang w:eastAsia="en-AU"/>
        </w:rPr>
      </w:pPr>
      <w:bookmarkStart w:id="0" w:name="_GoBack"/>
      <w:bookmarkEnd w:id="0"/>
    </w:p>
    <w:p w:rsidR="00B3632D" w:rsidRDefault="00B3632D" w:rsidP="00B3632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Ed </w:t>
      </w:r>
      <w:proofErr w:type="spellStart"/>
      <w:r>
        <w:rPr>
          <w:rFonts w:ascii="Arial" w:eastAsia="Times New Roman" w:hAnsi="Arial" w:cs="Arial"/>
          <w:lang w:eastAsia="en-AU"/>
        </w:rPr>
        <w:t>Santow</w:t>
      </w:r>
      <w:proofErr w:type="spellEnd"/>
    </w:p>
    <w:p w:rsidR="00B3632D" w:rsidRPr="00B3632D" w:rsidRDefault="00B3632D" w:rsidP="00B3632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B3632D">
        <w:rPr>
          <w:rFonts w:ascii="Arial" w:eastAsia="Times New Roman" w:hAnsi="Arial" w:cs="Arial"/>
          <w:b/>
          <w:lang w:eastAsia="en-AU"/>
        </w:rPr>
        <w:t>Chair, NLAF Housing Law Working Group</w:t>
      </w:r>
    </w:p>
    <w:p w:rsidR="00B3632D" w:rsidRDefault="00B3632D" w:rsidP="00B3632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B3632D">
        <w:rPr>
          <w:rFonts w:ascii="Arial" w:eastAsia="Times New Roman" w:hAnsi="Arial" w:cs="Arial"/>
          <w:b/>
          <w:lang w:eastAsia="en-AU"/>
        </w:rPr>
        <w:t>CEO PIAC</w:t>
      </w:r>
    </w:p>
    <w:p w:rsidR="00B3632D" w:rsidRDefault="00B3632D" w:rsidP="00B3632D">
      <w:pPr>
        <w:tabs>
          <w:tab w:val="left" w:pos="567"/>
        </w:tabs>
        <w:spacing w:before="120" w:after="12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Mach 2013</w:t>
      </w:r>
    </w:p>
    <w:p w:rsidR="00B3632D" w:rsidRPr="00B3632D" w:rsidRDefault="00B3632D" w:rsidP="00B3632D">
      <w:pPr>
        <w:tabs>
          <w:tab w:val="left" w:pos="567"/>
        </w:tabs>
        <w:spacing w:before="120" w:after="120" w:line="240" w:lineRule="auto"/>
        <w:rPr>
          <w:rFonts w:ascii="Arial" w:eastAsia="Times New Roman" w:hAnsi="Arial" w:cs="Arial"/>
          <w:b/>
          <w:lang w:eastAsia="en-AU"/>
        </w:rPr>
      </w:pPr>
    </w:p>
    <w:sectPr w:rsidR="00B3632D" w:rsidRPr="00B3632D" w:rsidSect="00F91C35">
      <w:pgSz w:w="11906" w:h="16838"/>
      <w:pgMar w:top="1276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E39"/>
    <w:multiLevelType w:val="hybridMultilevel"/>
    <w:tmpl w:val="53265CD4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E7C2948"/>
    <w:multiLevelType w:val="hybridMultilevel"/>
    <w:tmpl w:val="F29287E8"/>
    <w:lvl w:ilvl="0" w:tplc="AC9C74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47711F8"/>
    <w:multiLevelType w:val="hybridMultilevel"/>
    <w:tmpl w:val="067C4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96197"/>
    <w:multiLevelType w:val="hybridMultilevel"/>
    <w:tmpl w:val="02CCC178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479"/>
    <w:multiLevelType w:val="hybridMultilevel"/>
    <w:tmpl w:val="1B5CDC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680A"/>
    <w:multiLevelType w:val="hybridMultilevel"/>
    <w:tmpl w:val="BE5EC076"/>
    <w:lvl w:ilvl="0" w:tplc="E8C461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41B18"/>
    <w:multiLevelType w:val="hybridMultilevel"/>
    <w:tmpl w:val="B45A7B5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3D"/>
    <w:rsid w:val="001C2DB4"/>
    <w:rsid w:val="003D5ACE"/>
    <w:rsid w:val="005E5A78"/>
    <w:rsid w:val="007B773D"/>
    <w:rsid w:val="008626E4"/>
    <w:rsid w:val="00B3632D"/>
    <w:rsid w:val="00D176D8"/>
    <w:rsid w:val="00D77BC3"/>
    <w:rsid w:val="00F62026"/>
    <w:rsid w:val="00F91C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Levitan</dc:creator>
  <cp:lastModifiedBy>Judith Levitan</cp:lastModifiedBy>
  <cp:revision>5</cp:revision>
  <dcterms:created xsi:type="dcterms:W3CDTF">2013-02-28T05:45:00Z</dcterms:created>
  <dcterms:modified xsi:type="dcterms:W3CDTF">2013-03-04T00:45:00Z</dcterms:modified>
</cp:coreProperties>
</file>