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F8C56" w14:textId="77777777" w:rsidR="00204D31" w:rsidRPr="00FB57AE" w:rsidRDefault="00204D31" w:rsidP="004B0E17">
      <w:pPr>
        <w:jc w:val="center"/>
        <w:rPr>
          <w:rFonts w:ascii="Arial" w:hAnsi="Arial"/>
          <w:b/>
        </w:rPr>
      </w:pPr>
      <w:r w:rsidRPr="00FB57AE">
        <w:rPr>
          <w:rFonts w:ascii="Arial" w:hAnsi="Arial"/>
          <w:b/>
        </w:rPr>
        <w:t>Learning and Development Group meeting</w:t>
      </w:r>
    </w:p>
    <w:p w14:paraId="2677A778" w14:textId="0011EA17" w:rsidR="00204D31" w:rsidRPr="00FB57AE" w:rsidRDefault="00204D31" w:rsidP="004B0E17">
      <w:pPr>
        <w:jc w:val="center"/>
        <w:rPr>
          <w:rFonts w:ascii="Arial" w:hAnsi="Arial"/>
          <w:b/>
        </w:rPr>
      </w:pPr>
      <w:r w:rsidRPr="00FB57AE">
        <w:rPr>
          <w:rFonts w:ascii="Arial" w:hAnsi="Arial"/>
          <w:b/>
        </w:rPr>
        <w:t xml:space="preserve">Thursday </w:t>
      </w:r>
      <w:r w:rsidR="00E2399E">
        <w:rPr>
          <w:rFonts w:ascii="Arial" w:hAnsi="Arial"/>
          <w:b/>
        </w:rPr>
        <w:t>15</w:t>
      </w:r>
      <w:r w:rsidR="00E2399E" w:rsidRPr="00E2399E">
        <w:rPr>
          <w:rFonts w:ascii="Arial" w:hAnsi="Arial"/>
          <w:b/>
          <w:vertAlign w:val="superscript"/>
        </w:rPr>
        <w:t>th</w:t>
      </w:r>
      <w:r w:rsidR="00E2399E">
        <w:rPr>
          <w:rFonts w:ascii="Arial" w:hAnsi="Arial"/>
          <w:b/>
        </w:rPr>
        <w:t xml:space="preserve"> November</w:t>
      </w:r>
      <w:r w:rsidR="00016761">
        <w:rPr>
          <w:rFonts w:ascii="Arial" w:hAnsi="Arial"/>
          <w:b/>
        </w:rPr>
        <w:t xml:space="preserve"> 2012</w:t>
      </w:r>
    </w:p>
    <w:p w14:paraId="2A3AAA5F" w14:textId="2295BD90" w:rsidR="00032FDA" w:rsidRDefault="00204D31" w:rsidP="00204D31">
      <w:pPr>
        <w:rPr>
          <w:rFonts w:ascii="Arial" w:hAnsi="Arial"/>
        </w:rPr>
      </w:pPr>
      <w:r w:rsidRPr="00FB57AE">
        <w:rPr>
          <w:rFonts w:ascii="Arial" w:hAnsi="Arial"/>
        </w:rPr>
        <w:t xml:space="preserve">This meeting was held at </w:t>
      </w:r>
      <w:r w:rsidR="00032FDA">
        <w:rPr>
          <w:rFonts w:ascii="Arial" w:hAnsi="Arial"/>
        </w:rPr>
        <w:t xml:space="preserve">the </w:t>
      </w:r>
      <w:r w:rsidR="00E2399E">
        <w:rPr>
          <w:rFonts w:ascii="Arial" w:hAnsi="Arial"/>
        </w:rPr>
        <w:t>Law and Justice Foundation, with</w:t>
      </w:r>
      <w:r w:rsidR="00016761">
        <w:rPr>
          <w:rFonts w:ascii="Arial" w:hAnsi="Arial"/>
        </w:rPr>
        <w:t xml:space="preserve"> representatives from </w:t>
      </w:r>
      <w:r w:rsidR="00E2399E">
        <w:rPr>
          <w:rFonts w:ascii="Arial" w:hAnsi="Arial"/>
        </w:rPr>
        <w:t xml:space="preserve">LIAC, LAC, </w:t>
      </w:r>
      <w:r w:rsidRPr="00FB57AE">
        <w:rPr>
          <w:rFonts w:ascii="Arial" w:hAnsi="Arial"/>
        </w:rPr>
        <w:t>CLCNSW, L</w:t>
      </w:r>
      <w:r w:rsidR="00E2399E">
        <w:rPr>
          <w:rFonts w:ascii="Arial" w:hAnsi="Arial"/>
        </w:rPr>
        <w:t>&amp;</w:t>
      </w:r>
      <w:r w:rsidRPr="00FB57AE">
        <w:rPr>
          <w:rFonts w:ascii="Arial" w:hAnsi="Arial"/>
        </w:rPr>
        <w:t xml:space="preserve">JF, </w:t>
      </w:r>
      <w:r w:rsidR="00E2399E">
        <w:rPr>
          <w:rFonts w:ascii="Arial" w:hAnsi="Arial"/>
        </w:rPr>
        <w:t xml:space="preserve">WLS, NLAF </w:t>
      </w:r>
      <w:r w:rsidRPr="00FB57AE">
        <w:rPr>
          <w:rFonts w:ascii="Arial" w:hAnsi="Arial"/>
        </w:rPr>
        <w:t>and Law Access NSW.</w:t>
      </w:r>
      <w:r w:rsidR="00227B92" w:rsidRPr="00FB57AE">
        <w:rPr>
          <w:rFonts w:ascii="Arial" w:hAnsi="Arial"/>
        </w:rPr>
        <w:t xml:space="preserve"> </w:t>
      </w:r>
      <w:r w:rsidR="00E2399E">
        <w:rPr>
          <w:rFonts w:ascii="Arial" w:hAnsi="Arial"/>
        </w:rPr>
        <w:t xml:space="preserve"> There were apologies from CLEW, Tenants Union, ALS and PIAC.</w:t>
      </w:r>
    </w:p>
    <w:p w14:paraId="27A6C7F1" w14:textId="377B82FD" w:rsidR="00B97233" w:rsidRDefault="009E415D" w:rsidP="007E4E0F">
      <w:pPr>
        <w:tabs>
          <w:tab w:val="left" w:pos="567"/>
        </w:tabs>
        <w:spacing w:before="120" w:after="120"/>
        <w:rPr>
          <w:rFonts w:ascii="Arial" w:hAnsi="Arial" w:cs="Arial"/>
        </w:rPr>
      </w:pPr>
      <w:r w:rsidRPr="00FB57AE">
        <w:rPr>
          <w:rFonts w:ascii="Arial" w:hAnsi="Arial"/>
          <w:b/>
          <w:i/>
        </w:rPr>
        <w:t>LIAC</w:t>
      </w:r>
      <w:r w:rsidR="00B97233">
        <w:rPr>
          <w:rFonts w:ascii="Arial" w:hAnsi="Arial"/>
        </w:rPr>
        <w:t xml:space="preserve"> </w:t>
      </w:r>
      <w:r w:rsidR="00E2399E">
        <w:rPr>
          <w:rFonts w:ascii="Arial" w:hAnsi="Arial"/>
        </w:rPr>
        <w:t>is developing revised versions</w:t>
      </w:r>
      <w:r w:rsidR="00016761">
        <w:rPr>
          <w:rFonts w:ascii="Arial" w:hAnsi="Arial"/>
        </w:rPr>
        <w:t xml:space="preserve"> </w:t>
      </w:r>
      <w:r w:rsidR="00E2399E">
        <w:rPr>
          <w:rFonts w:ascii="Arial" w:hAnsi="Arial"/>
        </w:rPr>
        <w:t xml:space="preserve">of two existing videos on the Australian legal system (courts </w:t>
      </w:r>
      <w:r w:rsidR="00363D3B">
        <w:rPr>
          <w:rFonts w:ascii="Arial" w:hAnsi="Arial"/>
        </w:rPr>
        <w:t>and legislation</w:t>
      </w:r>
      <w:r w:rsidR="00005768">
        <w:rPr>
          <w:rFonts w:ascii="Arial" w:hAnsi="Arial"/>
        </w:rPr>
        <w:t>) that</w:t>
      </w:r>
      <w:r w:rsidR="00363D3B">
        <w:rPr>
          <w:rFonts w:ascii="Arial" w:hAnsi="Arial"/>
        </w:rPr>
        <w:t xml:space="preserve"> should be</w:t>
      </w:r>
      <w:r w:rsidR="00E2399E">
        <w:rPr>
          <w:rFonts w:ascii="Arial" w:hAnsi="Arial"/>
        </w:rPr>
        <w:t xml:space="preserve"> available early 2013. Macquarie Legal Centre has asked LIAC to facilitat</w:t>
      </w:r>
      <w:r w:rsidR="00363D3B">
        <w:rPr>
          <w:rFonts w:ascii="Arial" w:hAnsi="Arial"/>
        </w:rPr>
        <w:t>e reviews of three videos on yo</w:t>
      </w:r>
      <w:r w:rsidR="00E2399E">
        <w:rPr>
          <w:rFonts w:ascii="Arial" w:hAnsi="Arial"/>
        </w:rPr>
        <w:t>ung people and the law</w:t>
      </w:r>
    </w:p>
    <w:p w14:paraId="41A1A295" w14:textId="4A2A469B" w:rsidR="00A3616C" w:rsidRDefault="009F331A" w:rsidP="00A3616C">
      <w:pPr>
        <w:tabs>
          <w:tab w:val="left" w:pos="353"/>
        </w:tabs>
        <w:spacing w:after="0"/>
        <w:rPr>
          <w:rFonts w:ascii="Arial" w:hAnsi="Arial" w:cs="Arial"/>
        </w:rPr>
      </w:pPr>
      <w:r w:rsidRPr="00A3616C">
        <w:rPr>
          <w:rFonts w:ascii="Arial" w:hAnsi="Arial" w:cs="Arial"/>
          <w:b/>
          <w:i/>
        </w:rPr>
        <w:t>LAW ACCESS</w:t>
      </w:r>
      <w:r w:rsidRPr="00A3616C">
        <w:rPr>
          <w:rFonts w:ascii="Arial" w:hAnsi="Arial" w:cs="Arial"/>
        </w:rPr>
        <w:t xml:space="preserve"> </w:t>
      </w:r>
      <w:r w:rsidR="00A3616C" w:rsidRPr="00A3616C">
        <w:rPr>
          <w:rFonts w:ascii="Arial" w:hAnsi="Arial" w:cs="Arial"/>
        </w:rPr>
        <w:t xml:space="preserve">LawAssist is developing two new topics for release in 2013: recovery of goods and </w:t>
      </w:r>
      <w:r w:rsidR="00005768">
        <w:rPr>
          <w:rFonts w:ascii="Arial" w:hAnsi="Arial" w:cs="Arial"/>
        </w:rPr>
        <w:t xml:space="preserve">another employment topic, and </w:t>
      </w:r>
      <w:r w:rsidR="00A3616C" w:rsidRPr="00A3616C">
        <w:rPr>
          <w:rFonts w:ascii="Arial" w:hAnsi="Arial" w:cs="Arial"/>
        </w:rPr>
        <w:t>is continuing to promote the LawPrompt service to Legal Aid and CLC lawyers.</w:t>
      </w:r>
      <w:r w:rsidR="00A3616C">
        <w:rPr>
          <w:rFonts w:ascii="Arial" w:hAnsi="Arial" w:cs="Arial"/>
        </w:rPr>
        <w:t xml:space="preserve"> LawAccess has recently run </w:t>
      </w:r>
      <w:r w:rsidR="00937703">
        <w:rPr>
          <w:rFonts w:ascii="Arial" w:hAnsi="Arial" w:cs="Arial"/>
        </w:rPr>
        <w:t xml:space="preserve">“risk of harm” training for </w:t>
      </w:r>
      <w:r w:rsidR="00A3616C">
        <w:rPr>
          <w:rFonts w:ascii="Arial" w:hAnsi="Arial" w:cs="Arial"/>
        </w:rPr>
        <w:t xml:space="preserve">staff, for dealing with customers who threaten suicide or harm to others, and has also run </w:t>
      </w:r>
      <w:r w:rsidR="00937703">
        <w:rPr>
          <w:rFonts w:ascii="Arial" w:hAnsi="Arial" w:cs="Arial"/>
        </w:rPr>
        <w:t>DV training,</w:t>
      </w:r>
      <w:r w:rsidR="00A3616C">
        <w:rPr>
          <w:rFonts w:ascii="Arial" w:hAnsi="Arial" w:cs="Arial"/>
        </w:rPr>
        <w:t xml:space="preserve"> covering screening and identifying DV when speaking to customers about other issues. The </w:t>
      </w:r>
      <w:r w:rsidR="00937703">
        <w:rPr>
          <w:rFonts w:ascii="Arial" w:hAnsi="Arial" w:cs="Arial"/>
        </w:rPr>
        <w:t>next intake of summer clerks</w:t>
      </w:r>
      <w:r w:rsidR="00A3616C">
        <w:rPr>
          <w:rFonts w:ascii="Arial" w:hAnsi="Arial" w:cs="Arial"/>
        </w:rPr>
        <w:t xml:space="preserve"> will commence on 26 November.</w:t>
      </w:r>
    </w:p>
    <w:p w14:paraId="0C124904" w14:textId="49D799DD" w:rsidR="00136144" w:rsidRDefault="004E3F8C" w:rsidP="00136144">
      <w:pPr>
        <w:tabs>
          <w:tab w:val="left" w:pos="353"/>
        </w:tabs>
        <w:spacing w:before="120" w:after="120"/>
        <w:rPr>
          <w:rFonts w:ascii="Arial" w:hAnsi="Arial" w:cs="Arial"/>
        </w:rPr>
      </w:pPr>
      <w:r w:rsidRPr="00136144">
        <w:rPr>
          <w:rFonts w:ascii="Arial" w:hAnsi="Arial"/>
          <w:b/>
          <w:i/>
        </w:rPr>
        <w:t xml:space="preserve">Legal Aid </w:t>
      </w:r>
      <w:r w:rsidR="00005768" w:rsidRPr="00136144">
        <w:rPr>
          <w:rFonts w:ascii="Arial" w:hAnsi="Arial"/>
          <w:b/>
          <w:i/>
        </w:rPr>
        <w:t>NSW</w:t>
      </w:r>
      <w:r w:rsidR="00005768" w:rsidRPr="00136144">
        <w:rPr>
          <w:rFonts w:ascii="Arial" w:hAnsi="Arial"/>
        </w:rPr>
        <w:t xml:space="preserve"> The</w:t>
      </w:r>
      <w:r w:rsidR="00C467F1" w:rsidRPr="00136144">
        <w:rPr>
          <w:rFonts w:ascii="Arial" w:hAnsi="Arial" w:cs="Arial"/>
        </w:rPr>
        <w:t xml:space="preserve"> </w:t>
      </w:r>
      <w:r w:rsidR="00937703">
        <w:rPr>
          <w:rFonts w:ascii="Arial" w:hAnsi="Arial" w:cs="Arial"/>
        </w:rPr>
        <w:t xml:space="preserve">2013 </w:t>
      </w:r>
      <w:r w:rsidR="00C467F1" w:rsidRPr="00136144">
        <w:rPr>
          <w:rFonts w:ascii="Arial" w:hAnsi="Arial" w:cs="Arial"/>
        </w:rPr>
        <w:t>training cale</w:t>
      </w:r>
      <w:r w:rsidR="00937703">
        <w:rPr>
          <w:rFonts w:ascii="Arial" w:hAnsi="Arial" w:cs="Arial"/>
        </w:rPr>
        <w:t xml:space="preserve">ndar </w:t>
      </w:r>
      <w:r w:rsidR="00136144">
        <w:rPr>
          <w:rFonts w:ascii="Arial" w:hAnsi="Arial" w:cs="Arial"/>
        </w:rPr>
        <w:t xml:space="preserve">is in development with </w:t>
      </w:r>
      <w:r w:rsidR="00C467F1" w:rsidRPr="00136144">
        <w:rPr>
          <w:rFonts w:ascii="Arial" w:hAnsi="Arial" w:cs="Arial"/>
        </w:rPr>
        <w:t xml:space="preserve">two key </w:t>
      </w:r>
      <w:r w:rsidR="00136144">
        <w:rPr>
          <w:rFonts w:ascii="Arial" w:hAnsi="Arial" w:cs="Arial"/>
        </w:rPr>
        <w:t>focus areas</w:t>
      </w:r>
      <w:r w:rsidR="00C467F1" w:rsidRPr="00136144">
        <w:rPr>
          <w:rFonts w:ascii="Arial" w:hAnsi="Arial" w:cs="Arial"/>
        </w:rPr>
        <w:t>: health and wellbeing and management and leadership.</w:t>
      </w:r>
      <w:r w:rsidR="00136144">
        <w:rPr>
          <w:rFonts w:ascii="Arial" w:hAnsi="Arial" w:cs="Arial"/>
        </w:rPr>
        <w:t xml:space="preserve"> The former</w:t>
      </w:r>
      <w:r w:rsidR="00136144" w:rsidRPr="00136144">
        <w:rPr>
          <w:rFonts w:ascii="Arial" w:hAnsi="Arial" w:cs="Arial"/>
        </w:rPr>
        <w:t xml:space="preserve"> will include courses such as dignity and respect in the workplace, resilience training for all staff (progressively rolled out to regional areas</w:t>
      </w:r>
      <w:r w:rsidR="00136144">
        <w:rPr>
          <w:rFonts w:ascii="Arial" w:hAnsi="Arial" w:cs="Arial"/>
        </w:rPr>
        <w:t>) and a 2-</w:t>
      </w:r>
      <w:r w:rsidR="00136144" w:rsidRPr="00136144">
        <w:rPr>
          <w:rFonts w:ascii="Arial" w:hAnsi="Arial" w:cs="Arial"/>
        </w:rPr>
        <w:t xml:space="preserve">day mental health first aid course. </w:t>
      </w:r>
      <w:r w:rsidR="00136144">
        <w:rPr>
          <w:rFonts w:ascii="Arial" w:hAnsi="Arial" w:cs="Arial"/>
        </w:rPr>
        <w:t>Online courses that provide an induction to the various practice areas will be offered next year.</w:t>
      </w:r>
    </w:p>
    <w:p w14:paraId="3487CDBC" w14:textId="09DC93FB" w:rsidR="00136144" w:rsidRDefault="00136144" w:rsidP="00136144">
      <w:pPr>
        <w:tabs>
          <w:tab w:val="left" w:pos="353"/>
          <w:tab w:val="left" w:pos="906"/>
        </w:tabs>
        <w:spacing w:before="120" w:after="120"/>
        <w:rPr>
          <w:rFonts w:ascii="Arial" w:hAnsi="Arial" w:cs="Arial"/>
        </w:rPr>
      </w:pPr>
      <w:r>
        <w:rPr>
          <w:rFonts w:ascii="Arial" w:hAnsi="Arial" w:cs="Arial"/>
        </w:rPr>
        <w:t>Staff in other agencies are very welcome to attend most courses advertised on the LMS (unless ma</w:t>
      </w:r>
      <w:r w:rsidR="000C1D8D">
        <w:rPr>
          <w:rFonts w:ascii="Arial" w:hAnsi="Arial" w:cs="Arial"/>
        </w:rPr>
        <w:t>rked for Legal Aid staff only).</w:t>
      </w:r>
    </w:p>
    <w:p w14:paraId="2CE297FE" w14:textId="7C951E25" w:rsidR="00F86DB4" w:rsidRDefault="00227B92" w:rsidP="00F86DB4">
      <w:pPr>
        <w:tabs>
          <w:tab w:val="left" w:pos="320"/>
        </w:tabs>
        <w:spacing w:before="120" w:after="120"/>
        <w:rPr>
          <w:rFonts w:ascii="Arial" w:hAnsi="Arial" w:cs="Arial"/>
          <w:lang w:val="en-AU"/>
        </w:rPr>
      </w:pPr>
      <w:r w:rsidRPr="00FB57AE">
        <w:rPr>
          <w:rFonts w:ascii="Arial" w:hAnsi="Arial"/>
          <w:b/>
          <w:i/>
        </w:rPr>
        <w:t>CLCNSW</w:t>
      </w:r>
      <w:r w:rsidRPr="00FB57AE">
        <w:rPr>
          <w:rFonts w:ascii="Arial" w:hAnsi="Arial"/>
        </w:rPr>
        <w:t xml:space="preserve"> </w:t>
      </w:r>
      <w:r w:rsidR="00F86DB4">
        <w:rPr>
          <w:rFonts w:ascii="Arial" w:hAnsi="Arial"/>
        </w:rPr>
        <w:t xml:space="preserve">Final </w:t>
      </w:r>
      <w:r w:rsidR="00F86DB4">
        <w:rPr>
          <w:rFonts w:ascii="Arial" w:hAnsi="Arial" w:cs="Arial"/>
          <w:lang w:val="en-AU"/>
        </w:rPr>
        <w:t xml:space="preserve">Quarterlies for this year </w:t>
      </w:r>
      <w:r w:rsidR="00937703">
        <w:rPr>
          <w:rFonts w:ascii="Arial" w:hAnsi="Arial" w:cs="Arial"/>
          <w:lang w:val="en-AU"/>
        </w:rPr>
        <w:t>are</w:t>
      </w:r>
      <w:r w:rsidR="00F86DB4">
        <w:rPr>
          <w:rFonts w:ascii="Arial" w:hAnsi="Arial" w:cs="Arial"/>
          <w:lang w:val="en-AU"/>
        </w:rPr>
        <w:t xml:space="preserve"> on 26 and 27 November and there will be an additional networking &amp; training day in December for RRR centres. A new CLC Directory will be available shortly. CLCNSW collaborated again with th</w:t>
      </w:r>
      <w:r w:rsidR="00937703">
        <w:rPr>
          <w:rFonts w:ascii="Arial" w:hAnsi="Arial" w:cs="Arial"/>
          <w:lang w:val="en-AU"/>
        </w:rPr>
        <w:t xml:space="preserve">e College of Law to offer a CLC </w:t>
      </w:r>
      <w:r w:rsidR="00F86DB4">
        <w:rPr>
          <w:rFonts w:ascii="Arial" w:hAnsi="Arial" w:cs="Arial"/>
          <w:lang w:val="en-AU"/>
        </w:rPr>
        <w:t>specific Practice Management Course for principal solicitors. A CLC sector induction program was run at the state office in October for staff and volunteers new to CLCs. Staff from outside Sydney joined by Skype. Some who attended the</w:t>
      </w:r>
      <w:r w:rsidR="007F5F03">
        <w:rPr>
          <w:rFonts w:ascii="Arial" w:hAnsi="Arial" w:cs="Arial"/>
          <w:lang w:val="en-AU"/>
        </w:rPr>
        <w:t xml:space="preserve"> state office continued after lunch to LawAccess. T</w:t>
      </w:r>
      <w:r w:rsidR="00F86DB4">
        <w:rPr>
          <w:rFonts w:ascii="Arial" w:hAnsi="Arial" w:cs="Arial"/>
          <w:lang w:val="en-AU"/>
        </w:rPr>
        <w:t xml:space="preserve">his program </w:t>
      </w:r>
      <w:r w:rsidR="000C1D8D">
        <w:rPr>
          <w:rFonts w:ascii="Arial" w:hAnsi="Arial" w:cs="Arial"/>
          <w:lang w:val="en-AU"/>
        </w:rPr>
        <w:t xml:space="preserve">will </w:t>
      </w:r>
      <w:r w:rsidR="007F5F03">
        <w:rPr>
          <w:rFonts w:ascii="Arial" w:hAnsi="Arial" w:cs="Arial"/>
          <w:lang w:val="en-AU"/>
        </w:rPr>
        <w:t xml:space="preserve">be run </w:t>
      </w:r>
      <w:r w:rsidR="00F86DB4">
        <w:rPr>
          <w:rFonts w:ascii="Arial" w:hAnsi="Arial" w:cs="Arial"/>
          <w:lang w:val="en-AU"/>
        </w:rPr>
        <w:t>every two months.</w:t>
      </w:r>
    </w:p>
    <w:p w14:paraId="690DA766" w14:textId="6CBDC45E" w:rsidR="000C1D8D" w:rsidRPr="000C1D8D" w:rsidRDefault="000C1D8D" w:rsidP="000C1D8D">
      <w:pPr>
        <w:tabs>
          <w:tab w:val="left" w:pos="353"/>
        </w:tabs>
        <w:spacing w:before="120" w:after="120"/>
        <w:rPr>
          <w:rFonts w:ascii="Arial" w:hAnsi="Arial" w:cs="Arial"/>
          <w:b/>
          <w:lang w:val="en-AU"/>
        </w:rPr>
      </w:pPr>
      <w:r>
        <w:rPr>
          <w:rFonts w:ascii="Arial" w:hAnsi="Arial" w:cs="Arial"/>
          <w:b/>
          <w:i/>
          <w:lang w:val="en-AU"/>
        </w:rPr>
        <w:t xml:space="preserve">WLS </w:t>
      </w:r>
      <w:r w:rsidRPr="000C1D8D">
        <w:rPr>
          <w:rFonts w:ascii="Arial" w:hAnsi="Arial" w:cs="Arial"/>
          <w:lang w:val="en-AU"/>
        </w:rPr>
        <w:t>reported on</w:t>
      </w:r>
      <w:r>
        <w:rPr>
          <w:rFonts w:ascii="Arial" w:hAnsi="Arial" w:cs="Arial"/>
        </w:rPr>
        <w:t xml:space="preserve"> a new online legal informat</w:t>
      </w:r>
      <w:r w:rsidR="00937703">
        <w:rPr>
          <w:rFonts w:ascii="Arial" w:hAnsi="Arial" w:cs="Arial"/>
        </w:rPr>
        <w:t xml:space="preserve">ion service called </w:t>
      </w:r>
      <w:r w:rsidR="00937703" w:rsidRPr="00937703">
        <w:rPr>
          <w:rFonts w:ascii="Arial" w:hAnsi="Arial" w:cs="Arial"/>
          <w:i/>
        </w:rPr>
        <w:t>Ask LOIS</w:t>
      </w:r>
      <w:r w:rsidR="00937703">
        <w:rPr>
          <w:rFonts w:ascii="Arial" w:hAnsi="Arial" w:cs="Arial"/>
        </w:rPr>
        <w:t xml:space="preserve"> which </w:t>
      </w:r>
      <w:r>
        <w:rPr>
          <w:rFonts w:ascii="Arial" w:hAnsi="Arial" w:cs="Arial"/>
        </w:rPr>
        <w:t xml:space="preserve">is a secure website that provides an online support network, </w:t>
      </w:r>
      <w:r w:rsidR="00005768">
        <w:rPr>
          <w:rFonts w:ascii="Arial" w:hAnsi="Arial" w:cs="Arial"/>
        </w:rPr>
        <w:t xml:space="preserve">with </w:t>
      </w:r>
      <w:r>
        <w:rPr>
          <w:rFonts w:ascii="Arial" w:hAnsi="Arial" w:cs="Arial"/>
        </w:rPr>
        <w:t xml:space="preserve">resources and training for regionally based workers (such as health workers) delivering services to women with legal needs. WLS has also developed a video explaining cyber-law, called Think B4 You </w:t>
      </w:r>
      <w:r w:rsidR="00005768">
        <w:rPr>
          <w:rFonts w:ascii="Arial" w:hAnsi="Arial" w:cs="Arial"/>
        </w:rPr>
        <w:t>Click, which</w:t>
      </w:r>
      <w:r>
        <w:rPr>
          <w:rFonts w:ascii="Arial" w:hAnsi="Arial" w:cs="Arial"/>
        </w:rPr>
        <w:t xml:space="preserve"> is available on YouTube. WLS is part of the consortium developing and delivering the legal literacy trai</w:t>
      </w:r>
      <w:r w:rsidR="00937703">
        <w:rPr>
          <w:rFonts w:ascii="Arial" w:hAnsi="Arial" w:cs="Arial"/>
        </w:rPr>
        <w:t xml:space="preserve">ning to inmates, </w:t>
      </w:r>
      <w:r>
        <w:rPr>
          <w:rFonts w:ascii="Arial" w:hAnsi="Arial" w:cs="Arial"/>
        </w:rPr>
        <w:t>funded through the Legal Aid/CLC partnerships grants program.</w:t>
      </w:r>
    </w:p>
    <w:p w14:paraId="540E6AF9" w14:textId="0B48F60F" w:rsidR="000145DB" w:rsidRDefault="00BE45B2" w:rsidP="000145DB">
      <w:pPr>
        <w:tabs>
          <w:tab w:val="left" w:pos="567"/>
        </w:tabs>
        <w:rPr>
          <w:rFonts w:ascii="Arial" w:hAnsi="Arial" w:cs="Arial"/>
        </w:rPr>
      </w:pPr>
      <w:r w:rsidRPr="00FB57AE">
        <w:rPr>
          <w:rFonts w:ascii="Arial" w:hAnsi="Arial"/>
          <w:b/>
          <w:i/>
        </w:rPr>
        <w:lastRenderedPageBreak/>
        <w:t>NLAF</w:t>
      </w:r>
      <w:r w:rsidRPr="00FB57AE">
        <w:rPr>
          <w:rFonts w:ascii="Arial" w:hAnsi="Arial"/>
        </w:rPr>
        <w:t xml:space="preserve"> </w:t>
      </w:r>
      <w:r w:rsidR="00E761DD">
        <w:rPr>
          <w:rFonts w:ascii="Arial" w:hAnsi="Arial"/>
        </w:rPr>
        <w:t xml:space="preserve">reported </w:t>
      </w:r>
      <w:r w:rsidR="0003208B">
        <w:rPr>
          <w:rFonts w:ascii="Arial" w:hAnsi="Arial"/>
        </w:rPr>
        <w:t>on two developments</w:t>
      </w:r>
      <w:r w:rsidR="000145DB">
        <w:rPr>
          <w:rFonts w:ascii="Arial" w:hAnsi="Arial"/>
        </w:rPr>
        <w:t>: The RRR working group had iden</w:t>
      </w:r>
      <w:r w:rsidR="0003208B">
        <w:rPr>
          <w:rFonts w:ascii="Arial" w:hAnsi="Arial"/>
        </w:rPr>
        <w:t>tified men</w:t>
      </w:r>
      <w:r w:rsidR="000145DB">
        <w:rPr>
          <w:rFonts w:ascii="Arial" w:hAnsi="Arial"/>
        </w:rPr>
        <w:t>toring as important for</w:t>
      </w:r>
      <w:r w:rsidR="0003208B">
        <w:rPr>
          <w:rFonts w:ascii="Arial" w:hAnsi="Arial"/>
        </w:rPr>
        <w:t xml:space="preserve"> recruitment and retention of RRR lawyers</w:t>
      </w:r>
      <w:r w:rsidR="00005768">
        <w:rPr>
          <w:rFonts w:ascii="Arial" w:hAnsi="Arial"/>
        </w:rPr>
        <w:t>; The</w:t>
      </w:r>
      <w:r w:rsidR="000145DB" w:rsidRPr="000145DB">
        <w:rPr>
          <w:rFonts w:ascii="Arial" w:hAnsi="Arial" w:cs="Arial"/>
        </w:rPr>
        <w:t xml:space="preserve"> Employment Services working group </w:t>
      </w:r>
      <w:r w:rsidR="000145DB">
        <w:rPr>
          <w:rFonts w:ascii="Arial" w:hAnsi="Arial" w:cs="Arial"/>
        </w:rPr>
        <w:t xml:space="preserve">will wind up in early 2013, </w:t>
      </w:r>
      <w:r w:rsidR="00005768">
        <w:rPr>
          <w:rFonts w:ascii="Arial" w:hAnsi="Arial" w:cs="Arial"/>
        </w:rPr>
        <w:t>its legacy</w:t>
      </w:r>
      <w:r w:rsidR="000145DB">
        <w:rPr>
          <w:rFonts w:ascii="Arial" w:hAnsi="Arial" w:cs="Arial"/>
        </w:rPr>
        <w:t xml:space="preserve"> being a cross-sector employment forum for the purpose of training and information exchange, open to lawyers from CLCs, Legal Aid, LawAccess and the private profession. This forum will operate separately from the CLC Employment Network that meets at the Quarterlies, and Legal Aid’s Community of Practice group, both of which are intended for CLC and LAC staff respectively.</w:t>
      </w:r>
    </w:p>
    <w:p w14:paraId="66C173DA" w14:textId="0489C423" w:rsidR="0003208B" w:rsidRDefault="008706C7" w:rsidP="0003208B">
      <w:pPr>
        <w:tabs>
          <w:tab w:val="left" w:pos="567"/>
        </w:tabs>
        <w:rPr>
          <w:rFonts w:ascii="Arial" w:hAnsi="Arial" w:cs="Arial"/>
        </w:rPr>
      </w:pPr>
      <w:r w:rsidRPr="00FB57AE">
        <w:rPr>
          <w:rFonts w:ascii="Arial" w:hAnsi="Arial"/>
          <w:b/>
          <w:i/>
        </w:rPr>
        <w:t>The Collaborative Agency Induction Project</w:t>
      </w:r>
      <w:r w:rsidR="008E4558">
        <w:rPr>
          <w:rFonts w:ascii="Arial" w:hAnsi="Arial"/>
          <w:b/>
          <w:i/>
        </w:rPr>
        <w:t xml:space="preserve"> </w:t>
      </w:r>
      <w:r w:rsidR="00681316">
        <w:rPr>
          <w:rFonts w:ascii="Arial" w:hAnsi="Arial"/>
        </w:rPr>
        <w:t>There were further discussions on this concept, recognizing the difficulty of a “road show” type pro</w:t>
      </w:r>
      <w:r w:rsidR="00937703">
        <w:rPr>
          <w:rFonts w:ascii="Arial" w:hAnsi="Arial"/>
        </w:rPr>
        <w:t xml:space="preserve">gram. The contrast between </w:t>
      </w:r>
      <w:r w:rsidR="00681316">
        <w:rPr>
          <w:rFonts w:ascii="Arial" w:hAnsi="Arial"/>
        </w:rPr>
        <w:t xml:space="preserve">needs and </w:t>
      </w:r>
      <w:r w:rsidR="00005768">
        <w:rPr>
          <w:rFonts w:ascii="Arial" w:hAnsi="Arial"/>
        </w:rPr>
        <w:t>capabilities</w:t>
      </w:r>
      <w:r w:rsidR="00681316">
        <w:rPr>
          <w:rFonts w:ascii="Arial" w:hAnsi="Arial"/>
        </w:rPr>
        <w:t xml:space="preserve"> of larger and smaller agencies was recognised. </w:t>
      </w:r>
      <w:r w:rsidR="0003208B">
        <w:rPr>
          <w:rFonts w:ascii="Arial" w:hAnsi="Arial" w:cs="Arial"/>
        </w:rPr>
        <w:t>It was agreed that Legal Aid would offer a half or full day session at their Central Sydney office, at which representatives of the partic</w:t>
      </w:r>
      <w:r w:rsidR="00937703">
        <w:rPr>
          <w:rFonts w:ascii="Arial" w:hAnsi="Arial" w:cs="Arial"/>
        </w:rPr>
        <w:t xml:space="preserve">ipating agencies could </w:t>
      </w:r>
      <w:bookmarkStart w:id="0" w:name="_GoBack"/>
      <w:bookmarkEnd w:id="0"/>
      <w:r w:rsidR="0003208B">
        <w:rPr>
          <w:rFonts w:ascii="Arial" w:hAnsi="Arial" w:cs="Arial"/>
        </w:rPr>
        <w:t>present to inductees from across the sector. Subject to capacity LawAccess may also be willing to open up the session in their induction program at which invited guests from the sector come and speak.</w:t>
      </w:r>
    </w:p>
    <w:p w14:paraId="725A736F" w14:textId="77777777" w:rsidR="00005768" w:rsidRPr="002438BD" w:rsidRDefault="00005768" w:rsidP="00005768">
      <w:pPr>
        <w:tabs>
          <w:tab w:val="left" w:pos="567"/>
        </w:tabs>
        <w:spacing w:before="120" w:after="120"/>
        <w:rPr>
          <w:rFonts w:ascii="Arial" w:hAnsi="Arial"/>
        </w:rPr>
      </w:pPr>
      <w:r w:rsidRPr="007E4E0F">
        <w:rPr>
          <w:rFonts w:ascii="Arial" w:hAnsi="Arial" w:cs="Arial"/>
          <w:b/>
          <w:i/>
        </w:rPr>
        <w:t>CLEW</w:t>
      </w:r>
      <w:r>
        <w:rPr>
          <w:rFonts w:ascii="Arial" w:hAnsi="Arial" w:cs="Arial"/>
          <w:b/>
          <w:i/>
        </w:rPr>
        <w:t>, ALS</w:t>
      </w:r>
      <w:r w:rsidRPr="007E4E0F">
        <w:rPr>
          <w:rFonts w:ascii="Arial" w:hAnsi="Arial" w:cs="Arial"/>
          <w:b/>
          <w:i/>
        </w:rPr>
        <w:t xml:space="preserve"> </w:t>
      </w:r>
      <w:r>
        <w:rPr>
          <w:rFonts w:ascii="Arial" w:hAnsi="Arial" w:cs="Arial"/>
        </w:rPr>
        <w:t xml:space="preserve">no reports. </w:t>
      </w:r>
      <w:r w:rsidRPr="00005768">
        <w:rPr>
          <w:rFonts w:ascii="Arial" w:hAnsi="Arial" w:cs="Arial"/>
          <w:b/>
          <w:i/>
        </w:rPr>
        <w:t xml:space="preserve">PIAC </w:t>
      </w:r>
      <w:r>
        <w:rPr>
          <w:rFonts w:ascii="Arial" w:hAnsi="Arial" w:cs="Arial"/>
        </w:rPr>
        <w:t xml:space="preserve">advised pre-meeting that there were no developments to report. </w:t>
      </w:r>
      <w:r>
        <w:rPr>
          <w:rFonts w:ascii="Arial" w:hAnsi="Arial" w:cs="Arial"/>
          <w:b/>
          <w:i/>
        </w:rPr>
        <w:t xml:space="preserve">Tenants Union </w:t>
      </w:r>
      <w:r>
        <w:rPr>
          <w:rFonts w:ascii="Arial" w:hAnsi="Arial" w:cs="Arial"/>
        </w:rPr>
        <w:t>reported by email on the publication of the hard-copy version of the Tenants Rights manual soon also to be available online at LIAC.</w:t>
      </w:r>
    </w:p>
    <w:p w14:paraId="51EE7CF7" w14:textId="7A40DE42" w:rsidR="008706C7" w:rsidRPr="00FB57AE" w:rsidRDefault="00AE45AE" w:rsidP="00204D31">
      <w:pPr>
        <w:rPr>
          <w:rFonts w:ascii="Arial" w:hAnsi="Arial"/>
        </w:rPr>
      </w:pPr>
      <w:r>
        <w:rPr>
          <w:rFonts w:ascii="Arial" w:hAnsi="Arial"/>
        </w:rPr>
        <w:t xml:space="preserve">The next NLAF Learning and Development group meeting will be held on Thursday </w:t>
      </w:r>
      <w:r w:rsidR="0003208B">
        <w:rPr>
          <w:rFonts w:ascii="Arial" w:hAnsi="Arial"/>
        </w:rPr>
        <w:t>28</w:t>
      </w:r>
      <w:r w:rsidR="00016761" w:rsidRPr="00016761">
        <w:rPr>
          <w:rFonts w:ascii="Arial" w:hAnsi="Arial"/>
          <w:vertAlign w:val="superscript"/>
        </w:rPr>
        <w:t>th</w:t>
      </w:r>
      <w:r w:rsidR="00016761">
        <w:rPr>
          <w:rFonts w:ascii="Arial" w:hAnsi="Arial"/>
        </w:rPr>
        <w:t xml:space="preserve"> </w:t>
      </w:r>
      <w:r w:rsidR="0003208B">
        <w:rPr>
          <w:rFonts w:ascii="Arial" w:hAnsi="Arial"/>
        </w:rPr>
        <w:t>February 2013</w:t>
      </w:r>
      <w:r w:rsidR="00016761">
        <w:rPr>
          <w:rFonts w:ascii="Arial" w:hAnsi="Arial"/>
        </w:rPr>
        <w:t xml:space="preserve"> at </w:t>
      </w:r>
      <w:r w:rsidR="0003208B">
        <w:rPr>
          <w:rFonts w:ascii="Arial" w:hAnsi="Arial"/>
        </w:rPr>
        <w:t>Legal Aid</w:t>
      </w:r>
      <w:r w:rsidR="00016761">
        <w:rPr>
          <w:rFonts w:ascii="Arial" w:hAnsi="Arial"/>
        </w:rPr>
        <w:t>.</w:t>
      </w:r>
      <w:r>
        <w:rPr>
          <w:rFonts w:ascii="Arial" w:hAnsi="Arial"/>
        </w:rPr>
        <w:t xml:space="preserve"> </w:t>
      </w:r>
    </w:p>
    <w:sectPr w:rsidR="008706C7" w:rsidRPr="00FB57AE" w:rsidSect="00204D31">
      <w:headerReference w:type="first" r:id="rId8"/>
      <w:footerReference w:type="first" r:id="rId9"/>
      <w:pgSz w:w="11900" w:h="16840"/>
      <w:pgMar w:top="1244" w:right="1474" w:bottom="2835" w:left="907" w:header="0" w:footer="0"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A7F93" w14:textId="77777777" w:rsidR="002438BD" w:rsidRDefault="002438BD">
      <w:pPr>
        <w:spacing w:after="0"/>
      </w:pPr>
      <w:r>
        <w:separator/>
      </w:r>
    </w:p>
  </w:endnote>
  <w:endnote w:type="continuationSeparator" w:id="0">
    <w:p w14:paraId="66E268F4" w14:textId="77777777" w:rsidR="002438BD" w:rsidRDefault="002438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PMingLiU">
    <w:altName w:val="新細明體"/>
    <w:charset w:val="88"/>
    <w:family w:val="roman"/>
    <w:pitch w:val="variable"/>
    <w:sig w:usb0="A00002FF" w:usb1="28CFFCFA" w:usb2="00000016" w:usb3="00000000" w:csb0="00100001" w:csb1="00000000"/>
  </w:font>
  <w:font w:name="TradeGothic">
    <w:altName w:val="Cambria"/>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radeGothic BoldTwo">
    <w:altName w:val="Cambri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7BD08" w14:textId="77777777" w:rsidR="002438BD" w:rsidRPr="0082193C" w:rsidRDefault="002438BD" w:rsidP="00204D31">
    <w:pPr>
      <w:tabs>
        <w:tab w:val="left" w:pos="3880"/>
      </w:tabs>
      <w:spacing w:after="120"/>
      <w:ind w:left="57"/>
      <w:rPr>
        <w:rFonts w:ascii="TradeGothic BoldTwo" w:hAnsi="TradeGothic BoldTwo"/>
        <w:color w:val="FFFFFF" w:themeColor="background1"/>
        <w:sz w:val="22"/>
        <w:lang w:val="en-AU"/>
      </w:rPr>
    </w:pPr>
    <w:r>
      <w:rPr>
        <w:noProof/>
        <w:szCs w:val="20"/>
      </w:rPr>
      <w:drawing>
        <wp:anchor distT="0" distB="0" distL="114300" distR="114300" simplePos="0" relativeHeight="251658752" behindDoc="1" locked="0" layoutInCell="1" allowOverlap="1" wp14:anchorId="4CBBAC77" wp14:editId="56D42E71">
          <wp:simplePos x="0" y="0"/>
          <wp:positionH relativeFrom="column">
            <wp:posOffset>-584200</wp:posOffset>
          </wp:positionH>
          <wp:positionV relativeFrom="paragraph">
            <wp:posOffset>-295275</wp:posOffset>
          </wp:positionV>
          <wp:extent cx="7599680" cy="1354455"/>
          <wp:effectExtent l="25400" t="0" r="0" b="0"/>
          <wp:wrapNone/>
          <wp:docPr id="5" name="Picture 5" descr="cl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c-footer"/>
                  <pic:cNvPicPr>
                    <a:picLocks noChangeAspect="1" noChangeArrowheads="1"/>
                  </pic:cNvPicPr>
                </pic:nvPicPr>
                <pic:blipFill>
                  <a:blip r:embed="rId1"/>
                  <a:srcRect/>
                  <a:stretch>
                    <a:fillRect/>
                  </a:stretch>
                </pic:blipFill>
                <pic:spPr bwMode="auto">
                  <a:xfrm>
                    <a:off x="0" y="0"/>
                    <a:ext cx="7599680" cy="1354455"/>
                  </a:xfrm>
                  <a:prstGeom prst="rect">
                    <a:avLst/>
                  </a:prstGeom>
                  <a:noFill/>
                  <a:ln w="9525">
                    <a:noFill/>
                    <a:miter lim="800000"/>
                    <a:headEnd/>
                    <a:tailEnd/>
                  </a:ln>
                </pic:spPr>
              </pic:pic>
            </a:graphicData>
          </a:graphic>
        </wp:anchor>
      </w:drawing>
    </w:r>
    <w:r>
      <w:rPr>
        <w:szCs w:val="20"/>
        <w:lang w:val="en-AU"/>
      </w:rPr>
      <w:t xml:space="preserve"> </w:t>
    </w:r>
  </w:p>
  <w:p w14:paraId="133BC7A8" w14:textId="77777777" w:rsidR="002438BD" w:rsidRPr="0082193C" w:rsidRDefault="002438BD" w:rsidP="00204D31">
    <w:pPr>
      <w:tabs>
        <w:tab w:val="left" w:pos="3880"/>
      </w:tabs>
      <w:spacing w:after="120"/>
      <w:ind w:left="57"/>
      <w:rPr>
        <w:rFonts w:ascii="TradeGothic" w:hAnsi="TradeGothic"/>
        <w:color w:val="FFFFFF" w:themeColor="background1"/>
        <w:sz w:val="22"/>
        <w:lang w:val="en-AU"/>
      </w:rPr>
    </w:pPr>
    <w:r w:rsidRPr="0082193C">
      <w:rPr>
        <w:rFonts w:ascii="TradeGothic" w:hAnsi="TradeGothic"/>
        <w:color w:val="FFFFFF" w:themeColor="background1"/>
        <w:sz w:val="22"/>
        <w:lang w:val="en-AU"/>
      </w:rPr>
      <w:t xml:space="preserve"> </w:t>
    </w:r>
  </w:p>
  <w:p w14:paraId="7767334C" w14:textId="77777777" w:rsidR="002438BD" w:rsidRDefault="002438BD" w:rsidP="00204D31">
    <w:pPr>
      <w:tabs>
        <w:tab w:val="left" w:pos="3880"/>
      </w:tabs>
      <w:spacing w:after="120"/>
      <w:ind w:left="57"/>
      <w:rPr>
        <w:rFonts w:ascii="TradeGothic" w:hAnsi="TradeGothic"/>
        <w:color w:val="FFFFFF" w:themeColor="background1"/>
        <w:sz w:val="22"/>
        <w:lang w:val="en-AU"/>
      </w:rPr>
    </w:pPr>
    <w:r w:rsidRPr="0082193C">
      <w:rPr>
        <w:rFonts w:ascii="TradeGothic BoldTwo" w:hAnsi="TradeGothic BoldTwo"/>
        <w:color w:val="FFFFFF" w:themeColor="background1"/>
        <w:sz w:val="22"/>
        <w:lang w:val="en-AU"/>
      </w:rPr>
      <w:t xml:space="preserve"> </w:t>
    </w:r>
  </w:p>
  <w:p w14:paraId="4D27DE73" w14:textId="77777777" w:rsidR="002438BD" w:rsidRDefault="002438BD">
    <w:pPr>
      <w:pStyle w:val="Footer"/>
    </w:pPr>
    <w:r>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CE29A" w14:textId="77777777" w:rsidR="002438BD" w:rsidRDefault="002438BD">
      <w:pPr>
        <w:spacing w:after="0"/>
      </w:pPr>
      <w:r>
        <w:separator/>
      </w:r>
    </w:p>
  </w:footnote>
  <w:footnote w:type="continuationSeparator" w:id="0">
    <w:p w14:paraId="397242AD" w14:textId="77777777" w:rsidR="002438BD" w:rsidRDefault="002438B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6857" w14:textId="77777777" w:rsidR="002438BD" w:rsidRDefault="002438BD" w:rsidP="00204D31">
    <w:pPr>
      <w:pStyle w:val="Header"/>
      <w:ind w:right="163"/>
      <w:rPr>
        <w:lang w:val="en-AU"/>
      </w:rPr>
    </w:pPr>
  </w:p>
  <w:p w14:paraId="6A05C7B1" w14:textId="77777777" w:rsidR="002438BD" w:rsidRDefault="002438BD" w:rsidP="00204D31">
    <w:pPr>
      <w:pStyle w:val="Header"/>
      <w:ind w:right="163"/>
      <w:rPr>
        <w:lang w:val="en-AU"/>
      </w:rPr>
    </w:pPr>
  </w:p>
  <w:p w14:paraId="7ACAB554" w14:textId="77777777" w:rsidR="002438BD" w:rsidRDefault="002438BD" w:rsidP="00204D31">
    <w:pPr>
      <w:pStyle w:val="Header"/>
      <w:ind w:right="163"/>
      <w:rPr>
        <w:lang w:val="en-AU"/>
      </w:rPr>
    </w:pPr>
  </w:p>
  <w:p w14:paraId="4D9B4429" w14:textId="77777777" w:rsidR="002438BD" w:rsidRDefault="002438BD" w:rsidP="00204D31">
    <w:pPr>
      <w:pStyle w:val="Header"/>
      <w:ind w:right="163"/>
      <w:rPr>
        <w:lang w:val="en-AU"/>
      </w:rPr>
    </w:pPr>
    <w:r>
      <w:rPr>
        <w:noProof/>
      </w:rPr>
      <mc:AlternateContent>
        <mc:Choice Requires="wps">
          <w:drawing>
            <wp:anchor distT="0" distB="0" distL="114300" distR="114300" simplePos="0" relativeHeight="251656704" behindDoc="0" locked="0" layoutInCell="1" allowOverlap="1" wp14:anchorId="0D3473FE" wp14:editId="30528308">
              <wp:simplePos x="0" y="0"/>
              <wp:positionH relativeFrom="column">
                <wp:posOffset>3885565</wp:posOffset>
              </wp:positionH>
              <wp:positionV relativeFrom="paragraph">
                <wp:posOffset>25400</wp:posOffset>
              </wp:positionV>
              <wp:extent cx="2032000" cy="1066800"/>
              <wp:effectExtent l="0" t="0" r="635" b="0"/>
              <wp:wrapSquare wrapText="bothSides"/>
              <wp:docPr id="1" name="AutoShape 2" descr="clc-head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0" cy="1066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AutoShape 2" o:spid="_x0000_s1026" alt="Description: clc-header.jpg" style="position:absolute;margin-left:305.95pt;margin-top:2pt;width:160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" filled="f" stroked="f">
              <o:lock v:ext="edit" aspectratio="t"/>
              <w10:wrap type="square"/>
            </v:rect>
          </w:pict>
        </mc:Fallback>
      </mc:AlternateContent>
    </w:r>
  </w:p>
  <w:p w14:paraId="5892C16B" w14:textId="77777777" w:rsidR="002438BD" w:rsidRDefault="002438BD" w:rsidP="00204D31">
    <w:pPr>
      <w:pStyle w:val="Header"/>
      <w:ind w:right="163"/>
      <w:rPr>
        <w:lang w:val="en-AU"/>
      </w:rPr>
    </w:pPr>
    <w:r>
      <w:rPr>
        <w:noProof/>
        <w:szCs w:val="20"/>
      </w:rPr>
      <w:drawing>
        <wp:anchor distT="0" distB="0" distL="114300" distR="114300" simplePos="0" relativeHeight="251657728" behindDoc="0" locked="0" layoutInCell="1" allowOverlap="1" wp14:anchorId="6879A6BE" wp14:editId="1DFEA2E3">
          <wp:simplePos x="0" y="0"/>
          <wp:positionH relativeFrom="column">
            <wp:posOffset>3886200</wp:posOffset>
          </wp:positionH>
          <wp:positionV relativeFrom="paragraph">
            <wp:posOffset>75565</wp:posOffset>
          </wp:positionV>
          <wp:extent cx="2032000" cy="1075055"/>
          <wp:effectExtent l="25400" t="0" r="0" b="0"/>
          <wp:wrapSquare wrapText="bothSides"/>
          <wp:docPr id="3" name="Picture 3" descr="cl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c-header"/>
                  <pic:cNvPicPr>
                    <a:picLocks noChangeAspect="1" noChangeArrowheads="1"/>
                  </pic:cNvPicPr>
                </pic:nvPicPr>
                <pic:blipFill>
                  <a:blip r:embed="rId1"/>
                  <a:srcRect/>
                  <a:stretch>
                    <a:fillRect/>
                  </a:stretch>
                </pic:blipFill>
                <pic:spPr bwMode="auto">
                  <a:xfrm>
                    <a:off x="0" y="0"/>
                    <a:ext cx="2032000" cy="1075055"/>
                  </a:xfrm>
                  <a:prstGeom prst="rect">
                    <a:avLst/>
                  </a:prstGeom>
                  <a:noFill/>
                  <a:ln w="9525">
                    <a:noFill/>
                    <a:miter lim="800000"/>
                    <a:headEnd/>
                    <a:tailEnd/>
                  </a:ln>
                </pic:spPr>
              </pic:pic>
            </a:graphicData>
          </a:graphic>
        </wp:anchor>
      </w:drawing>
    </w:r>
  </w:p>
  <w:p w14:paraId="11130EA0" w14:textId="77777777" w:rsidR="002438BD" w:rsidRDefault="002438BD" w:rsidP="00204D31">
    <w:pPr>
      <w:pStyle w:val="Header"/>
      <w:ind w:right="163"/>
      <w:rPr>
        <w:lang w:val="en-AU"/>
      </w:rPr>
    </w:pPr>
  </w:p>
  <w:p w14:paraId="2324C10E" w14:textId="77777777" w:rsidR="002438BD" w:rsidRDefault="002438BD" w:rsidP="00204D31">
    <w:pPr>
      <w:pStyle w:val="Header"/>
      <w:ind w:right="163"/>
      <w:rPr>
        <w:lang w:val="en-AU"/>
      </w:rPr>
    </w:pPr>
  </w:p>
  <w:p w14:paraId="540F0103" w14:textId="77777777" w:rsidR="002438BD" w:rsidRDefault="002438BD" w:rsidP="00204D31">
    <w:pPr>
      <w:pStyle w:val="Header"/>
      <w:ind w:right="163"/>
      <w:rPr>
        <w:lang w:val="en-AU"/>
      </w:rPr>
    </w:pPr>
  </w:p>
  <w:p w14:paraId="5EA6C281" w14:textId="77777777" w:rsidR="002438BD" w:rsidRDefault="002438BD" w:rsidP="00204D31">
    <w:pPr>
      <w:pStyle w:val="Header"/>
      <w:ind w:right="163"/>
      <w:rPr>
        <w:lang w:val="en-AU"/>
      </w:rPr>
    </w:pPr>
  </w:p>
  <w:p w14:paraId="3E80B6B7" w14:textId="77777777" w:rsidR="002438BD" w:rsidRDefault="002438BD" w:rsidP="00204D31">
    <w:pPr>
      <w:pStyle w:val="Header"/>
      <w:ind w:right="163"/>
      <w:rPr>
        <w:lang w:val="en-AU"/>
      </w:rPr>
    </w:pPr>
  </w:p>
  <w:p w14:paraId="6AEE5AE0" w14:textId="77777777" w:rsidR="002438BD" w:rsidRPr="007B4215" w:rsidRDefault="002438BD" w:rsidP="00204D31">
    <w:pPr>
      <w:pStyle w:val="Header"/>
      <w:ind w:right="163"/>
      <w:rPr>
        <w:lang w:val="en-A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DAD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8ABA16"/>
    <w:lvl w:ilvl="0">
      <w:start w:val="1"/>
      <w:numFmt w:val="decimal"/>
      <w:lvlText w:val="%1."/>
      <w:lvlJc w:val="left"/>
      <w:pPr>
        <w:tabs>
          <w:tab w:val="num" w:pos="1492"/>
        </w:tabs>
        <w:ind w:left="1492" w:hanging="360"/>
      </w:pPr>
    </w:lvl>
  </w:abstractNum>
  <w:abstractNum w:abstractNumId="2">
    <w:nsid w:val="FFFFFF7D"/>
    <w:multiLevelType w:val="singleLevel"/>
    <w:tmpl w:val="230CEE8A"/>
    <w:lvl w:ilvl="0">
      <w:start w:val="1"/>
      <w:numFmt w:val="decimal"/>
      <w:lvlText w:val="%1."/>
      <w:lvlJc w:val="left"/>
      <w:pPr>
        <w:tabs>
          <w:tab w:val="num" w:pos="1209"/>
        </w:tabs>
        <w:ind w:left="1209" w:hanging="360"/>
      </w:pPr>
    </w:lvl>
  </w:abstractNum>
  <w:abstractNum w:abstractNumId="3">
    <w:nsid w:val="FFFFFF7E"/>
    <w:multiLevelType w:val="singleLevel"/>
    <w:tmpl w:val="E20EF8B6"/>
    <w:lvl w:ilvl="0">
      <w:start w:val="1"/>
      <w:numFmt w:val="decimal"/>
      <w:lvlText w:val="%1."/>
      <w:lvlJc w:val="left"/>
      <w:pPr>
        <w:tabs>
          <w:tab w:val="num" w:pos="926"/>
        </w:tabs>
        <w:ind w:left="926" w:hanging="360"/>
      </w:pPr>
    </w:lvl>
  </w:abstractNum>
  <w:abstractNum w:abstractNumId="4">
    <w:nsid w:val="FFFFFF7F"/>
    <w:multiLevelType w:val="singleLevel"/>
    <w:tmpl w:val="F774BDF0"/>
    <w:lvl w:ilvl="0">
      <w:start w:val="1"/>
      <w:numFmt w:val="decimal"/>
      <w:lvlText w:val="%1."/>
      <w:lvlJc w:val="left"/>
      <w:pPr>
        <w:tabs>
          <w:tab w:val="num" w:pos="643"/>
        </w:tabs>
        <w:ind w:left="643" w:hanging="360"/>
      </w:pPr>
    </w:lvl>
  </w:abstractNum>
  <w:abstractNum w:abstractNumId="5">
    <w:nsid w:val="FFFFFF80"/>
    <w:multiLevelType w:val="singleLevel"/>
    <w:tmpl w:val="1DE2B0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3EE7E6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7402A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582CC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682A2B4"/>
    <w:lvl w:ilvl="0">
      <w:start w:val="1"/>
      <w:numFmt w:val="decimal"/>
      <w:lvlText w:val="%1."/>
      <w:lvlJc w:val="left"/>
      <w:pPr>
        <w:tabs>
          <w:tab w:val="num" w:pos="360"/>
        </w:tabs>
        <w:ind w:left="360" w:hanging="360"/>
      </w:pPr>
    </w:lvl>
  </w:abstractNum>
  <w:abstractNum w:abstractNumId="10">
    <w:nsid w:val="FFFFFF89"/>
    <w:multiLevelType w:val="singleLevel"/>
    <w:tmpl w:val="4364E782"/>
    <w:lvl w:ilvl="0">
      <w:start w:val="1"/>
      <w:numFmt w:val="bullet"/>
      <w:lvlText w:val=""/>
      <w:lvlJc w:val="left"/>
      <w:pPr>
        <w:tabs>
          <w:tab w:val="num" w:pos="360"/>
        </w:tabs>
        <w:ind w:left="360" w:hanging="360"/>
      </w:pPr>
      <w:rPr>
        <w:rFonts w:ascii="Symbol" w:hAnsi="Symbol" w:hint="default"/>
      </w:rPr>
    </w:lvl>
  </w:abstractNum>
  <w:abstractNum w:abstractNumId="11">
    <w:nsid w:val="04A56DE2"/>
    <w:multiLevelType w:val="hybridMultilevel"/>
    <w:tmpl w:val="8D38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EF4743"/>
    <w:multiLevelType w:val="hybridMultilevel"/>
    <w:tmpl w:val="1740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2018F1"/>
    <w:multiLevelType w:val="hybridMultilevel"/>
    <w:tmpl w:val="4182AC4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917282"/>
    <w:multiLevelType w:val="hybridMultilevel"/>
    <w:tmpl w:val="8D5E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50573E"/>
    <w:multiLevelType w:val="hybridMultilevel"/>
    <w:tmpl w:val="77F2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E67253"/>
    <w:multiLevelType w:val="hybridMultilevel"/>
    <w:tmpl w:val="7F844EF2"/>
    <w:lvl w:ilvl="0" w:tplc="958E168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A125FA6"/>
    <w:multiLevelType w:val="hybridMultilevel"/>
    <w:tmpl w:val="7C624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553284"/>
    <w:multiLevelType w:val="hybridMultilevel"/>
    <w:tmpl w:val="4FEC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8"/>
  </w:num>
  <w:num w:numId="15">
    <w:abstractNumId w:val="12"/>
  </w:num>
  <w:num w:numId="16">
    <w:abstractNumId w:val="15"/>
  </w:num>
  <w:num w:numId="17">
    <w:abstractNumId w:val="1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57"/>
  <w:drawingGridVerticalSpacing w:val="357"/>
  <w:displayHorizontalDrawingGridEvery w:val="0"/>
  <w:displayVerticalDrawingGridEvery w:val="0"/>
  <w:characterSpacingControl w:val="doNotCompress"/>
  <w:savePreviewPicture/>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4B"/>
    <w:rsid w:val="00005768"/>
    <w:rsid w:val="000145DB"/>
    <w:rsid w:val="00016761"/>
    <w:rsid w:val="0003208B"/>
    <w:rsid w:val="00032FDA"/>
    <w:rsid w:val="000C1D8D"/>
    <w:rsid w:val="00136144"/>
    <w:rsid w:val="00204D31"/>
    <w:rsid w:val="00227B92"/>
    <w:rsid w:val="002438BD"/>
    <w:rsid w:val="00311F94"/>
    <w:rsid w:val="003157AA"/>
    <w:rsid w:val="00327BA0"/>
    <w:rsid w:val="00363D3B"/>
    <w:rsid w:val="004B0E17"/>
    <w:rsid w:val="004E3F8C"/>
    <w:rsid w:val="00521274"/>
    <w:rsid w:val="005C0DA1"/>
    <w:rsid w:val="005E4199"/>
    <w:rsid w:val="00681316"/>
    <w:rsid w:val="006F574B"/>
    <w:rsid w:val="007071D4"/>
    <w:rsid w:val="007E4E0F"/>
    <w:rsid w:val="007F42A1"/>
    <w:rsid w:val="007F5F03"/>
    <w:rsid w:val="008706C7"/>
    <w:rsid w:val="008964C8"/>
    <w:rsid w:val="008E4558"/>
    <w:rsid w:val="00932BED"/>
    <w:rsid w:val="00937703"/>
    <w:rsid w:val="00951079"/>
    <w:rsid w:val="009E415D"/>
    <w:rsid w:val="009F331A"/>
    <w:rsid w:val="00A3616C"/>
    <w:rsid w:val="00AE45AE"/>
    <w:rsid w:val="00AF0CB2"/>
    <w:rsid w:val="00B77CB6"/>
    <w:rsid w:val="00B97233"/>
    <w:rsid w:val="00BB4173"/>
    <w:rsid w:val="00BE45B2"/>
    <w:rsid w:val="00BF5984"/>
    <w:rsid w:val="00C467F1"/>
    <w:rsid w:val="00C91410"/>
    <w:rsid w:val="00D12BA6"/>
    <w:rsid w:val="00DB54BF"/>
    <w:rsid w:val="00DB5F6D"/>
    <w:rsid w:val="00E16633"/>
    <w:rsid w:val="00E2399E"/>
    <w:rsid w:val="00E31D86"/>
    <w:rsid w:val="00E761DD"/>
    <w:rsid w:val="00F22281"/>
    <w:rsid w:val="00F66DAC"/>
    <w:rsid w:val="00F86DB4"/>
    <w:rsid w:val="00FB57A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v:textbox inset="0,0,0,0"/>
    </o:shapedefaults>
    <o:shapelayout v:ext="edit">
      <o:idmap v:ext="edit" data="1"/>
    </o:shapelayout>
  </w:shapeDefaults>
  <w:decimalSymbol w:val="."/>
  <w:listSeparator w:val=","/>
  <w14:docId w14:val="0505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60"/>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F00"/>
    <w:pPr>
      <w:tabs>
        <w:tab w:val="center" w:pos="4320"/>
        <w:tab w:val="right" w:pos="8640"/>
      </w:tabs>
      <w:spacing w:after="0"/>
    </w:pPr>
  </w:style>
  <w:style w:type="character" w:customStyle="1" w:styleId="HeaderChar">
    <w:name w:val="Header Char"/>
    <w:basedOn w:val="DefaultParagraphFont"/>
    <w:link w:val="Header"/>
    <w:uiPriority w:val="99"/>
    <w:rsid w:val="00BE7F00"/>
  </w:style>
  <w:style w:type="paragraph" w:styleId="Footer">
    <w:name w:val="footer"/>
    <w:basedOn w:val="Normal"/>
    <w:link w:val="FooterChar"/>
    <w:unhideWhenUsed/>
    <w:rsid w:val="00BE7F00"/>
    <w:pPr>
      <w:tabs>
        <w:tab w:val="center" w:pos="4320"/>
        <w:tab w:val="right" w:pos="8640"/>
      </w:tabs>
      <w:spacing w:after="0"/>
    </w:pPr>
  </w:style>
  <w:style w:type="character" w:customStyle="1" w:styleId="FooterChar">
    <w:name w:val="Footer Char"/>
    <w:basedOn w:val="DefaultParagraphFont"/>
    <w:link w:val="Footer"/>
    <w:uiPriority w:val="99"/>
    <w:semiHidden/>
    <w:rsid w:val="00BE7F00"/>
  </w:style>
  <w:style w:type="character" w:styleId="Hyperlink">
    <w:name w:val="Hyperlink"/>
    <w:basedOn w:val="DefaultParagraphFont"/>
    <w:unhideWhenUsed/>
    <w:rsid w:val="0082193C"/>
    <w:rPr>
      <w:color w:val="0000FF"/>
      <w:u w:val="single"/>
    </w:rPr>
  </w:style>
  <w:style w:type="paragraph" w:styleId="NoSpacing">
    <w:name w:val="No Spacing"/>
    <w:link w:val="NoSpacingChar"/>
    <w:semiHidden/>
    <w:qFormat/>
    <w:rsid w:val="006A5A87"/>
    <w:rPr>
      <w:rFonts w:ascii="PMingLiU" w:eastAsia="Times New Roman" w:hAnsi="PMingLiU"/>
      <w:sz w:val="22"/>
      <w:szCs w:val="22"/>
      <w:lang w:val="en-US"/>
    </w:rPr>
  </w:style>
  <w:style w:type="character" w:customStyle="1" w:styleId="NoSpacingChar">
    <w:name w:val="No Spacing Char"/>
    <w:basedOn w:val="DefaultParagraphFont"/>
    <w:link w:val="NoSpacing"/>
    <w:rsid w:val="006A5A87"/>
    <w:rPr>
      <w:rFonts w:ascii="PMingLiU" w:eastAsia="Times New Roman" w:hAnsi="PMingLiU"/>
      <w:sz w:val="22"/>
      <w:szCs w:val="22"/>
      <w:lang w:val="en-US" w:eastAsia="en-US" w:bidi="ar-SA"/>
    </w:rPr>
  </w:style>
  <w:style w:type="table" w:styleId="TableGrid">
    <w:name w:val="Table Grid"/>
    <w:basedOn w:val="TableNormal"/>
    <w:uiPriority w:val="59"/>
    <w:rsid w:val="009E2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1">
    <w:name w:val="Paragraph Style 1"/>
    <w:basedOn w:val="Normal"/>
    <w:uiPriority w:val="99"/>
    <w:rsid w:val="00725DE4"/>
    <w:pPr>
      <w:widowControl w:val="0"/>
      <w:suppressAutoHyphens/>
      <w:autoSpaceDE w:val="0"/>
      <w:autoSpaceDN w:val="0"/>
      <w:adjustRightInd w:val="0"/>
      <w:spacing w:after="0" w:line="288" w:lineRule="auto"/>
      <w:textAlignment w:val="center"/>
    </w:pPr>
    <w:rPr>
      <w:rFonts w:ascii="TradeGothic" w:hAnsi="TradeGothic" w:cs="TradeGothic"/>
      <w:color w:val="000000"/>
      <w:spacing w:val="4"/>
      <w:sz w:val="20"/>
      <w:szCs w:val="20"/>
      <w:lang w:val="en-GB"/>
    </w:rPr>
  </w:style>
  <w:style w:type="character" w:styleId="FollowedHyperlink">
    <w:name w:val="FollowedHyperlink"/>
    <w:basedOn w:val="DefaultParagraphFont"/>
    <w:uiPriority w:val="99"/>
    <w:semiHidden/>
    <w:unhideWhenUsed/>
    <w:rsid w:val="00932BED"/>
    <w:rPr>
      <w:color w:val="800080" w:themeColor="followedHyperlink"/>
      <w:u w:val="single"/>
    </w:rPr>
  </w:style>
  <w:style w:type="paragraph" w:styleId="HTMLPreformatted">
    <w:name w:val="HTML Preformatted"/>
    <w:basedOn w:val="Normal"/>
    <w:link w:val="HTMLPreformattedChar"/>
    <w:uiPriority w:val="99"/>
    <w:rsid w:val="00932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932BED"/>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60"/>
    <w:pPr>
      <w:spacing w:after="20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7F00"/>
    <w:pPr>
      <w:tabs>
        <w:tab w:val="center" w:pos="4320"/>
        <w:tab w:val="right" w:pos="8640"/>
      </w:tabs>
      <w:spacing w:after="0"/>
    </w:pPr>
  </w:style>
  <w:style w:type="character" w:customStyle="1" w:styleId="HeaderChar">
    <w:name w:val="Header Char"/>
    <w:basedOn w:val="DefaultParagraphFont"/>
    <w:link w:val="Header"/>
    <w:uiPriority w:val="99"/>
    <w:rsid w:val="00BE7F00"/>
  </w:style>
  <w:style w:type="paragraph" w:styleId="Footer">
    <w:name w:val="footer"/>
    <w:basedOn w:val="Normal"/>
    <w:link w:val="FooterChar"/>
    <w:unhideWhenUsed/>
    <w:rsid w:val="00BE7F00"/>
    <w:pPr>
      <w:tabs>
        <w:tab w:val="center" w:pos="4320"/>
        <w:tab w:val="right" w:pos="8640"/>
      </w:tabs>
      <w:spacing w:after="0"/>
    </w:pPr>
  </w:style>
  <w:style w:type="character" w:customStyle="1" w:styleId="FooterChar">
    <w:name w:val="Footer Char"/>
    <w:basedOn w:val="DefaultParagraphFont"/>
    <w:link w:val="Footer"/>
    <w:uiPriority w:val="99"/>
    <w:semiHidden/>
    <w:rsid w:val="00BE7F00"/>
  </w:style>
  <w:style w:type="character" w:styleId="Hyperlink">
    <w:name w:val="Hyperlink"/>
    <w:basedOn w:val="DefaultParagraphFont"/>
    <w:unhideWhenUsed/>
    <w:rsid w:val="0082193C"/>
    <w:rPr>
      <w:color w:val="0000FF"/>
      <w:u w:val="single"/>
    </w:rPr>
  </w:style>
  <w:style w:type="paragraph" w:styleId="NoSpacing">
    <w:name w:val="No Spacing"/>
    <w:link w:val="NoSpacingChar"/>
    <w:semiHidden/>
    <w:qFormat/>
    <w:rsid w:val="006A5A87"/>
    <w:rPr>
      <w:rFonts w:ascii="PMingLiU" w:eastAsia="Times New Roman" w:hAnsi="PMingLiU"/>
      <w:sz w:val="22"/>
      <w:szCs w:val="22"/>
      <w:lang w:val="en-US"/>
    </w:rPr>
  </w:style>
  <w:style w:type="character" w:customStyle="1" w:styleId="NoSpacingChar">
    <w:name w:val="No Spacing Char"/>
    <w:basedOn w:val="DefaultParagraphFont"/>
    <w:link w:val="NoSpacing"/>
    <w:rsid w:val="006A5A87"/>
    <w:rPr>
      <w:rFonts w:ascii="PMingLiU" w:eastAsia="Times New Roman" w:hAnsi="PMingLiU"/>
      <w:sz w:val="22"/>
      <w:szCs w:val="22"/>
      <w:lang w:val="en-US" w:eastAsia="en-US" w:bidi="ar-SA"/>
    </w:rPr>
  </w:style>
  <w:style w:type="table" w:styleId="TableGrid">
    <w:name w:val="Table Grid"/>
    <w:basedOn w:val="TableNormal"/>
    <w:uiPriority w:val="59"/>
    <w:rsid w:val="009E2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1">
    <w:name w:val="Paragraph Style 1"/>
    <w:basedOn w:val="Normal"/>
    <w:uiPriority w:val="99"/>
    <w:rsid w:val="00725DE4"/>
    <w:pPr>
      <w:widowControl w:val="0"/>
      <w:suppressAutoHyphens/>
      <w:autoSpaceDE w:val="0"/>
      <w:autoSpaceDN w:val="0"/>
      <w:adjustRightInd w:val="0"/>
      <w:spacing w:after="0" w:line="288" w:lineRule="auto"/>
      <w:textAlignment w:val="center"/>
    </w:pPr>
    <w:rPr>
      <w:rFonts w:ascii="TradeGothic" w:hAnsi="TradeGothic" w:cs="TradeGothic"/>
      <w:color w:val="000000"/>
      <w:spacing w:val="4"/>
      <w:sz w:val="20"/>
      <w:szCs w:val="20"/>
      <w:lang w:val="en-GB"/>
    </w:rPr>
  </w:style>
  <w:style w:type="character" w:styleId="FollowedHyperlink">
    <w:name w:val="FollowedHyperlink"/>
    <w:basedOn w:val="DefaultParagraphFont"/>
    <w:uiPriority w:val="99"/>
    <w:semiHidden/>
    <w:unhideWhenUsed/>
    <w:rsid w:val="00932BED"/>
    <w:rPr>
      <w:color w:val="800080" w:themeColor="followedHyperlink"/>
      <w:u w:val="single"/>
    </w:rPr>
  </w:style>
  <w:style w:type="paragraph" w:styleId="HTMLPreformatted">
    <w:name w:val="HTML Preformatted"/>
    <w:basedOn w:val="Normal"/>
    <w:link w:val="HTMLPreformattedChar"/>
    <w:uiPriority w:val="99"/>
    <w:rsid w:val="00932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932BED"/>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51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636</Words>
  <Characters>3628</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ARMEDIA</Company>
  <LinksUpToDate>false</LinksUpToDate>
  <CharactersWithSpaces>4256</CharactersWithSpaces>
  <SharedDoc>false</SharedDoc>
  <HLinks>
    <vt:vector size="12" baseType="variant">
      <vt:variant>
        <vt:i4>7077938</vt:i4>
      </vt:variant>
      <vt:variant>
        <vt:i4>-1</vt:i4>
      </vt:variant>
      <vt:variant>
        <vt:i4>2051</vt:i4>
      </vt:variant>
      <vt:variant>
        <vt:i4>1</vt:i4>
      </vt:variant>
      <vt:variant>
        <vt:lpwstr>clc-header</vt:lpwstr>
      </vt:variant>
      <vt:variant>
        <vt:lpwstr/>
      </vt:variant>
      <vt:variant>
        <vt:i4>7077928</vt:i4>
      </vt:variant>
      <vt:variant>
        <vt:i4>-1</vt:i4>
      </vt:variant>
      <vt:variant>
        <vt:i4>2053</vt:i4>
      </vt:variant>
      <vt:variant>
        <vt:i4>1</vt:i4>
      </vt:variant>
      <vt:variant>
        <vt:lpwstr>clc-footer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Jokovich</dc:creator>
  <cp:keywords/>
  <cp:lastModifiedBy>Joanna Mantziaris</cp:lastModifiedBy>
  <cp:revision>2</cp:revision>
  <cp:lastPrinted>2011-02-04T03:04:00Z</cp:lastPrinted>
  <dcterms:created xsi:type="dcterms:W3CDTF">2012-11-22T23:37:00Z</dcterms:created>
  <dcterms:modified xsi:type="dcterms:W3CDTF">2012-11-22T23:37:00Z</dcterms:modified>
</cp:coreProperties>
</file>